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7"/>
      <w:bookmarkEnd w:id="0"/>
      <w:bookmarkStart w:id="1" w:name="_Hlt449016246"/>
      <w:bookmarkEnd w:id="1"/>
      <w:bookmarkStart w:id="2" w:name="_Hlt450066085"/>
      <w:bookmarkEnd w:id="2"/>
      <w:bookmarkStart w:id="3" w:name="_Hlt450051172"/>
      <w:bookmarkEnd w:id="3"/>
      <w:bookmarkStart w:id="4" w:name="_Hlt448930105"/>
      <w:bookmarkEnd w:id="4"/>
      <w:bookmarkStart w:id="5" w:name="_Hlt450039480"/>
      <w:bookmarkEnd w:id="5"/>
      <w:bookmarkStart w:id="6" w:name="OLE_LINK49"/>
      <w:bookmarkStart w:id="7" w:name="OLE_LINK27"/>
      <w:bookmarkStart w:id="8" w:name="OLE_LINK111"/>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bookmarkStart w:id="14" w:name="_GoBack"/>
      <w:r>
        <w:rPr>
          <w:rFonts w:hint="eastAsia"/>
          <w:b/>
          <w:sz w:val="24"/>
        </w:rPr>
        <w:t>R4-25039</w:t>
      </w:r>
      <w:r>
        <w:rPr>
          <w:rFonts w:hint="eastAsia" w:eastAsia="宋体"/>
          <w:b/>
          <w:sz w:val="24"/>
          <w:lang w:val="en-US" w:eastAsia="zh-CN"/>
        </w:rPr>
        <w:t>58</w:t>
      </w:r>
      <w:bookmarkEnd w:id="14"/>
    </w:p>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14"/>
        <w:keepNext/>
        <w:keepLines/>
        <w:pageBreakBefore w:val="0"/>
        <w:widowControl/>
        <w:kinsoku/>
        <w:wordWrap/>
        <w:overflowPunct/>
        <w:topLinePunct w:val="0"/>
        <w:autoSpaceDE/>
        <w:autoSpaceDN/>
        <w:bidi w:val="0"/>
        <w:adjustRightInd/>
        <w:spacing w:before="120" w:beforeLines="0" w:after="120" w:afterLines="0"/>
        <w:jc w:val="both"/>
        <w:textAlignment w:val="auto"/>
        <w:rPr>
          <w:b/>
          <w:i/>
          <w:sz w:val="24"/>
          <w:highlight w:val="none"/>
        </w:rPr>
      </w:pPr>
    </w:p>
    <w:p>
      <w:pPr>
        <w:keepNext/>
        <w:keepLines/>
        <w:pageBreakBefore w:val="0"/>
        <w:widowControl/>
        <w:tabs>
          <w:tab w:val="left" w:pos="1985"/>
        </w:tabs>
        <w:kinsoku/>
        <w:wordWrap/>
        <w:overflowPunct/>
        <w:topLinePunct w:val="0"/>
        <w:autoSpaceDE/>
        <w:autoSpaceDN/>
        <w:bidi w:val="0"/>
        <w:adjustRightInd/>
        <w:spacing w:before="120" w:beforeLines="0" w:after="120" w:afterLines="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beforeLines="0" w:after="120" w:afterLines="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Clarification on the multi-band requirements for ATG BS CA</w:t>
      </w:r>
    </w:p>
    <w:p>
      <w:pPr>
        <w:keepNext/>
        <w:keepLines/>
        <w:pageBreakBefore w:val="0"/>
        <w:widowControl/>
        <w:tabs>
          <w:tab w:val="left" w:pos="1985"/>
        </w:tabs>
        <w:kinsoku/>
        <w:wordWrap/>
        <w:overflowPunct/>
        <w:topLinePunct w:val="0"/>
        <w:autoSpaceDE/>
        <w:autoSpaceDN/>
        <w:bidi w:val="0"/>
        <w:adjustRightInd/>
        <w:spacing w:before="120" w:beforeLines="0" w:after="120" w:afterLines="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7.12.2</w:t>
      </w:r>
    </w:p>
    <w:p>
      <w:pPr>
        <w:keepNext/>
        <w:keepLines/>
        <w:pageBreakBefore w:val="0"/>
        <w:widowControl/>
        <w:tabs>
          <w:tab w:val="left" w:pos="1985"/>
        </w:tabs>
        <w:kinsoku/>
        <w:wordWrap/>
        <w:overflowPunct/>
        <w:topLinePunct w:val="0"/>
        <w:autoSpaceDE/>
        <w:autoSpaceDN/>
        <w:bidi w:val="0"/>
        <w:adjustRightInd/>
        <w:spacing w:before="120" w:beforeLines="0" w:after="120" w:afterLines="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pBdr>
          <w:top w:val="single" w:color="auto" w:sz="12" w:space="3"/>
        </w:pBdr>
        <w:kinsoku/>
        <w:wordWrap/>
        <w:overflowPunct/>
        <w:topLinePunct w:val="0"/>
        <w:autoSpaceDE/>
        <w:autoSpaceDN/>
        <w:bidi w:val="0"/>
        <w:spacing w:before="120"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kinsoku/>
        <w:wordWrap/>
        <w:overflowPunct/>
        <w:topLinePunct w:val="0"/>
        <w:autoSpaceDE/>
        <w:autoSpaceDN/>
        <w:bidi w:val="0"/>
        <w:snapToGrid w:val="0"/>
        <w:spacing w:before="120" w:beforeLines="0" w:after="120" w:afterLines="0"/>
        <w:textAlignment w:val="auto"/>
        <w:rPr>
          <w:rFonts w:hint="default" w:ascii="Times New Roman" w:hAnsi="Times New Roman" w:cs="Times New Roman"/>
          <w:sz w:val="20"/>
          <w:szCs w:val="20"/>
          <w:lang w:val="en-US" w:eastAsia="zh-CN"/>
        </w:rPr>
      </w:pPr>
      <w:bookmarkStart w:id="9" w:name="OLE_LINK25"/>
      <w:r>
        <w:rPr>
          <w:rFonts w:hint="eastAsia" w:cs="Times New Roman"/>
          <w:sz w:val="20"/>
          <w:szCs w:val="20"/>
          <w:lang w:val="en-US" w:eastAsia="zh-CN"/>
        </w:rPr>
        <w:t>In this contribution, we give some discussion on the clarification on the multi-band requirements for ATG BS CA after further checking the contents in the specification and the history information.</w:t>
      </w:r>
    </w:p>
    <w:bookmarkEnd w:id="9"/>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kinsoku/>
        <w:wordWrap/>
        <w:overflowPunct/>
        <w:topLinePunct w:val="0"/>
        <w:autoSpaceDE/>
        <w:autoSpaceDN/>
        <w:bidi w:val="0"/>
        <w:adjustRightInd/>
        <w:snapToGrid/>
        <w:spacing w:before="120" w:beforeLines="0" w:after="120" w:afterLines="0" w:line="260" w:lineRule="auto"/>
        <w:textAlignment w:val="auto"/>
        <w:outlineLvl w:val="1"/>
        <w:rPr>
          <w:rFonts w:hint="default"/>
          <w:b/>
          <w:bCs/>
          <w:sz w:val="20"/>
          <w:szCs w:val="20"/>
          <w:lang w:val="en-US" w:eastAsia="zh-CN"/>
        </w:rPr>
      </w:pPr>
      <w:bookmarkStart w:id="10" w:name="OLE_LINK23"/>
      <w:bookmarkStart w:id="11" w:name="OLE_LINK11"/>
      <w:bookmarkStart w:id="12" w:name="OLE_LINK66"/>
      <w:bookmarkStart w:id="13" w:name="OLE_LINK28"/>
      <w:r>
        <w:rPr>
          <w:rFonts w:hint="eastAsia"/>
          <w:b/>
          <w:bCs/>
          <w:sz w:val="20"/>
          <w:szCs w:val="20"/>
          <w:lang w:val="en-US" w:eastAsia="zh-CN"/>
        </w:rPr>
        <w:t>2.1 History information</w:t>
      </w:r>
    </w:p>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sz w:val="20"/>
          <w:szCs w:val="20"/>
          <w:lang w:val="en-US" w:eastAsia="zh-CN"/>
        </w:rPr>
        <w:t>We try to provide some history information related to the LTE BS capable of multi-band operation. Actually, multi-band operation requirements was introduced in MB-MSR WID, and the technical discussions were captured in the TR37.812. Since MSR also includes the single-RAT like LTE requirements, then the requirements are also applied for LTE. For MB-MSR, the agreements for multiple bands with both FDD and TDD bands can be found in WF[3], which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before="120" w:beforeLines="0" w:after="120" w:afterLines="0"/>
              <w:textAlignment w:val="baseline"/>
              <w:rPr>
                <w:rFonts w:hint="default"/>
                <w:sz w:val="20"/>
                <w:szCs w:val="20"/>
                <w:vertAlign w:val="baseline"/>
                <w:lang w:val="en-US" w:eastAsia="zh-CN"/>
              </w:rPr>
            </w:pPr>
            <w:r>
              <w:rPr>
                <w:rFonts w:hint="default"/>
                <w:sz w:val="20"/>
                <w:szCs w:val="20"/>
                <w:vertAlign w:val="baseline"/>
                <w:lang w:val="en-US" w:eastAsia="zh-CN"/>
              </w:rPr>
              <w:t>The discussion on feasibility of multi-band BS configuration supporting both FDD and TDD bands shall be decoupled from the completion of this WI.</w:t>
            </w:r>
          </w:p>
          <w:p>
            <w:pPr>
              <w:keepNext/>
              <w:keepLines/>
              <w:pageBreakBefore w:val="0"/>
              <w:numPr>
                <w:ilvl w:val="0"/>
                <w:numId w:val="7"/>
              </w:numPr>
              <w:kinsoku/>
              <w:wordWrap/>
              <w:overflowPunct w:val="0"/>
              <w:topLinePunct w:val="0"/>
              <w:autoSpaceDE w:val="0"/>
              <w:autoSpaceDN w:val="0"/>
              <w:bidi w:val="0"/>
              <w:adjustRightInd w:val="0"/>
              <w:spacing w:before="120" w:beforeLines="0" w:after="120" w:afterLines="0"/>
              <w:ind w:left="840" w:leftChars="0" w:hanging="420" w:firstLineChars="0"/>
              <w:textAlignment w:val="baseline"/>
              <w:rPr>
                <w:rFonts w:hint="default"/>
                <w:vertAlign w:val="baseline"/>
                <w:lang w:val="en-US" w:eastAsia="zh-CN"/>
              </w:rPr>
            </w:pPr>
            <w:r>
              <w:rPr>
                <w:rFonts w:hint="default"/>
                <w:sz w:val="20"/>
                <w:szCs w:val="20"/>
                <w:vertAlign w:val="baseline"/>
                <w:lang w:val="en-US" w:eastAsia="zh-CN"/>
              </w:rPr>
              <w:t>Multi-band BS configuration supporting both FDD and TDD bands is not supported in Release 12 BS specification</w:t>
            </w:r>
          </w:p>
        </w:tc>
      </w:tr>
    </w:tbl>
    <w:p>
      <w:pPr>
        <w:keepNext/>
        <w:keepLines/>
        <w:pageBreakBefore w:val="0"/>
        <w:kinsoku/>
        <w:wordWrap/>
        <w:topLinePunct w:val="0"/>
        <w:bidi w:val="0"/>
        <w:spacing w:before="120" w:beforeLines="0" w:after="120" w:afterLines="0"/>
        <w:rPr>
          <w:rFonts w:hint="eastAsia"/>
          <w:sz w:val="20"/>
          <w:szCs w:val="20"/>
          <w:vertAlign w:val="baseline"/>
          <w:lang w:val="en-US" w:eastAsia="zh-CN"/>
        </w:rPr>
      </w:pPr>
      <w:r>
        <w:rPr>
          <w:rFonts w:hint="eastAsia"/>
          <w:sz w:val="20"/>
          <w:szCs w:val="20"/>
          <w:lang w:val="en-US" w:eastAsia="zh-CN"/>
        </w:rPr>
        <w:t>Indeed, m</w:t>
      </w:r>
      <w:r>
        <w:rPr>
          <w:rFonts w:hint="default"/>
          <w:sz w:val="20"/>
          <w:szCs w:val="20"/>
          <w:vertAlign w:val="baseline"/>
          <w:lang w:val="en-US" w:eastAsia="zh-CN"/>
        </w:rPr>
        <w:t>ulti-band BS configuration supporting both FDD and TDD bands</w:t>
      </w:r>
      <w:r>
        <w:rPr>
          <w:rFonts w:hint="eastAsia"/>
          <w:sz w:val="20"/>
          <w:szCs w:val="20"/>
          <w:vertAlign w:val="baseline"/>
          <w:lang w:val="en-US" w:eastAsia="zh-CN"/>
        </w:rPr>
        <w:t xml:space="preserve"> was discussed in RAN4. However, there were no consensus achieved and meanwhile these exist some technical issues and specification impacts/ambiguity for </w:t>
      </w:r>
      <w:r>
        <w:rPr>
          <w:rFonts w:hint="eastAsia"/>
          <w:sz w:val="20"/>
          <w:szCs w:val="20"/>
          <w:lang w:val="en-US" w:eastAsia="zh-CN"/>
        </w:rPr>
        <w:t>m</w:t>
      </w:r>
      <w:r>
        <w:rPr>
          <w:rFonts w:hint="default"/>
          <w:sz w:val="20"/>
          <w:szCs w:val="20"/>
          <w:vertAlign w:val="baseline"/>
          <w:lang w:val="en-US" w:eastAsia="zh-CN"/>
        </w:rPr>
        <w:t>ulti-band BS configuration supporting both FDD and TDD bands</w:t>
      </w:r>
      <w:r>
        <w:rPr>
          <w:rFonts w:hint="eastAsia"/>
          <w:sz w:val="20"/>
          <w:szCs w:val="20"/>
          <w:vertAlign w:val="baseline"/>
          <w:lang w:val="en-US" w:eastAsia="zh-CN"/>
        </w:rPr>
        <w:t xml:space="preserve">, such as how to interpret the transmit ON/OFF requirements due to it is only for TDD, and how to interpret the some Rx requirements for FDD due to it </w:t>
      </w:r>
      <w:r>
        <w:rPr>
          <w:rFonts w:hint="eastAsia"/>
          <w:sz w:val="20"/>
          <w:szCs w:val="20"/>
          <w:vertAlign w:val="baseline"/>
          <w:lang w:val="en-US" w:eastAsia="ja-JP"/>
        </w:rPr>
        <w:t>shall be met with the transmitter(s) on</w:t>
      </w:r>
      <w:r>
        <w:rPr>
          <w:rFonts w:hint="eastAsia"/>
          <w:sz w:val="20"/>
          <w:szCs w:val="20"/>
          <w:vertAlign w:val="baseline"/>
          <w:lang w:val="en-US" w:eastAsia="zh-CN"/>
        </w:rPr>
        <w:t>, and so on</w:t>
      </w:r>
      <w:r>
        <w:rPr>
          <w:rFonts w:hint="eastAsia"/>
          <w:sz w:val="20"/>
          <w:szCs w:val="20"/>
          <w:vertAlign w:val="baseline"/>
          <w:lang w:val="en-US" w:eastAsia="ja-JP"/>
        </w:rPr>
        <w:t>.</w:t>
      </w:r>
      <w:r>
        <w:rPr>
          <w:rFonts w:hint="eastAsia"/>
          <w:sz w:val="20"/>
          <w:szCs w:val="20"/>
          <w:vertAlign w:val="baseline"/>
          <w:lang w:val="en-US" w:eastAsia="zh-CN"/>
        </w:rPr>
        <w:t xml:space="preserve"> </w:t>
      </w:r>
    </w:p>
    <w:p>
      <w:pPr>
        <w:keepNext/>
        <w:keepLines/>
        <w:pageBreakBefore w:val="0"/>
        <w:kinsoku/>
        <w:wordWrap/>
        <w:topLinePunct w:val="0"/>
        <w:bidi w:val="0"/>
        <w:spacing w:before="120" w:beforeLines="0" w:after="120" w:afterLines="0"/>
        <w:rPr>
          <w:rFonts w:hint="eastAsia"/>
          <w:sz w:val="20"/>
          <w:szCs w:val="20"/>
          <w:vertAlign w:val="baseline"/>
          <w:lang w:val="en-US" w:eastAsia="zh-CN"/>
        </w:rPr>
      </w:pPr>
      <w:r>
        <w:rPr>
          <w:rFonts w:hint="eastAsia"/>
          <w:sz w:val="20"/>
          <w:szCs w:val="20"/>
          <w:vertAlign w:val="baseline"/>
          <w:lang w:val="en-US" w:eastAsia="zh-CN"/>
        </w:rPr>
        <w:t xml:space="preserve">Moreover, </w:t>
      </w:r>
      <w:r>
        <w:rPr>
          <w:rFonts w:hint="eastAsia"/>
          <w:sz w:val="20"/>
          <w:szCs w:val="20"/>
          <w:vertAlign w:val="baseline"/>
          <w:lang w:val="en-GB" w:eastAsia="ja-JP"/>
        </w:rPr>
        <w:t xml:space="preserve">In principle, separate active RF components for TDD and FDD are assumed to support TDD-FDD CA. The RF requirements are applied separately for TDD and FDD. </w:t>
      </w:r>
      <w:r>
        <w:rPr>
          <w:rFonts w:hint="eastAsia"/>
          <w:sz w:val="20"/>
          <w:szCs w:val="20"/>
          <w:vertAlign w:val="baseline"/>
          <w:lang w:val="en-US" w:eastAsia="zh-CN"/>
        </w:rPr>
        <w:t xml:space="preserve">If a common </w:t>
      </w:r>
      <w:r>
        <w:rPr>
          <w:rFonts w:hint="eastAsia"/>
          <w:sz w:val="20"/>
          <w:szCs w:val="20"/>
          <w:vertAlign w:val="baseline"/>
          <w:lang w:val="en-GB" w:eastAsia="ja-JP"/>
        </w:rPr>
        <w:t>active RF components for TDD and FDD to support TDD-FDD CA</w:t>
      </w:r>
      <w:r>
        <w:rPr>
          <w:rFonts w:hint="eastAsia"/>
          <w:sz w:val="20"/>
          <w:szCs w:val="20"/>
          <w:vertAlign w:val="baseline"/>
          <w:lang w:val="en-US" w:eastAsia="zh-CN"/>
        </w:rPr>
        <w:t xml:space="preserve"> (which is multi-band operation), then it would require large isolation between RX and TX (on the order of 100 dB) which makes it impractical for multi-band operation. It is the same for a common </w:t>
      </w:r>
      <w:r>
        <w:rPr>
          <w:rFonts w:hint="eastAsia"/>
          <w:sz w:val="20"/>
          <w:szCs w:val="20"/>
          <w:vertAlign w:val="baseline"/>
          <w:lang w:val="en-GB" w:eastAsia="ja-JP"/>
        </w:rPr>
        <w:t xml:space="preserve">active RF components for </w:t>
      </w:r>
      <w:r>
        <w:rPr>
          <w:rFonts w:hint="eastAsia"/>
          <w:sz w:val="20"/>
          <w:szCs w:val="20"/>
          <w:vertAlign w:val="baseline"/>
          <w:lang w:val="en-US" w:eastAsia="zh-CN"/>
        </w:rPr>
        <w:t xml:space="preserve">both </w:t>
      </w:r>
      <w:r>
        <w:rPr>
          <w:rFonts w:hint="eastAsia"/>
          <w:sz w:val="20"/>
          <w:szCs w:val="20"/>
          <w:vertAlign w:val="baseline"/>
          <w:lang w:val="en-GB" w:eastAsia="ja-JP"/>
        </w:rPr>
        <w:t xml:space="preserve">TDD </w:t>
      </w:r>
      <w:r>
        <w:rPr>
          <w:rFonts w:hint="eastAsia"/>
          <w:sz w:val="20"/>
          <w:szCs w:val="20"/>
          <w:vertAlign w:val="baseline"/>
          <w:lang w:val="en-US" w:eastAsia="zh-CN"/>
        </w:rPr>
        <w:t>bands when non-simultaneous Rx/Tx is allowed between the TDD bands.. Therefore, in TR37.812[3], the applicable scenarios for multi-band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kinsoku/>
              <w:wordWrap/>
              <w:overflowPunct w:val="0"/>
              <w:topLinePunct w:val="0"/>
              <w:autoSpaceDE w:val="0"/>
              <w:autoSpaceDN w:val="0"/>
              <w:bidi w:val="0"/>
              <w:adjustRightInd w:val="0"/>
              <w:spacing w:after="180"/>
              <w:textAlignment w:val="baseline"/>
              <w:rPr>
                <w:rFonts w:hint="default"/>
                <w:sz w:val="20"/>
                <w:szCs w:val="20"/>
                <w:vertAlign w:val="baseline"/>
                <w:lang w:val="en-US" w:eastAsia="zh-CN"/>
              </w:rPr>
            </w:pPr>
            <w:r>
              <w:rPr>
                <w:sz w:val="20"/>
                <w:szCs w:val="20"/>
              </w:rPr>
              <w:t xml:space="preserve">The MB-MSR application scenarios also cover both FDD and TDD, but are limited to MB-MSR for FDD only scenarios and TDD only scenarios respectively.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baseline"/>
              <w:rPr>
                <w:rFonts w:hint="eastAsia"/>
                <w:b/>
                <w:bCs/>
                <w:i/>
                <w:iCs/>
                <w:sz w:val="20"/>
                <w:szCs w:val="20"/>
                <w:vertAlign w:val="baseline"/>
                <w:lang w:val="en-US" w:eastAsia="zh-CN"/>
              </w:rPr>
            </w:pPr>
            <w:r>
              <w:t>For the reasons above, the general clause explaining "Applicability of MB-MSR requirements" also clarifies that for multi-band capable BS, operation in the multiple bands must be synchronized.</w:t>
            </w:r>
          </w:p>
        </w:tc>
      </w:tr>
    </w:tbl>
    <w:p>
      <w:pPr>
        <w:keepNext/>
        <w:keepLines/>
        <w:pageBreakBefore w:val="0"/>
        <w:kinsoku/>
        <w:wordWrap/>
        <w:topLinePunct w:val="0"/>
        <w:bidi w:val="0"/>
        <w:spacing w:before="120" w:beforeLines="0" w:after="120" w:afterLines="0"/>
        <w:rPr>
          <w:rFonts w:hint="default"/>
          <w:sz w:val="20"/>
          <w:szCs w:val="20"/>
          <w:lang w:val="en-US" w:eastAsia="zh-CN"/>
        </w:rPr>
      </w:pPr>
      <w:r>
        <w:rPr>
          <w:rFonts w:hint="eastAsia"/>
          <w:b/>
          <w:bCs/>
          <w:i/>
          <w:iCs/>
          <w:sz w:val="20"/>
          <w:szCs w:val="20"/>
          <w:lang w:val="en-US" w:eastAsia="zh-CN"/>
        </w:rPr>
        <w:t xml:space="preserve">Observation 1: When multi-band operation is introduced in RAN4, it is limited to FDD only scenarios and TDD only scenarios respectively. For TDD only scenarios, operation in the multiple bands must be synchronized. </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eastAsia"/>
          <w:sz w:val="20"/>
          <w:szCs w:val="20"/>
          <w:vertAlign w:val="baseline"/>
          <w:lang w:val="en-US" w:eastAsia="zh-CN"/>
        </w:rPr>
      </w:pPr>
      <w:r>
        <w:rPr>
          <w:rFonts w:hint="eastAsia"/>
          <w:sz w:val="20"/>
          <w:szCs w:val="20"/>
          <w:vertAlign w:val="baseline"/>
          <w:lang w:val="en-US" w:eastAsia="zh-CN"/>
        </w:rPr>
        <w:t>Consequently, requirements for BS capable of multi-band operation are derived for the above applicable scenarios for MB-MSR in TS37.104, and for LTE in TS36.104.</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outlineLvl w:val="9"/>
        <w:rPr>
          <w:rFonts w:hint="default"/>
          <w:sz w:val="20"/>
          <w:szCs w:val="20"/>
          <w:vertAlign w:val="baseline"/>
          <w:lang w:val="en-US" w:eastAsia="zh-CN"/>
        </w:rPr>
      </w:pPr>
      <w:r>
        <w:rPr>
          <w:rFonts w:hint="eastAsia"/>
          <w:sz w:val="20"/>
          <w:szCs w:val="20"/>
          <w:vertAlign w:val="baseline"/>
          <w:lang w:val="en-US" w:eastAsia="zh-CN"/>
        </w:rPr>
        <w:t>More importantly, the above conclusions are still valid today considering there are no further WID/SID to re-discuss the multi-band operation requirements for NR BS.</w:t>
      </w:r>
    </w:p>
    <w:p>
      <w:pPr>
        <w:keepNext/>
        <w:keepLines/>
        <w:pageBreakBefore w:val="0"/>
        <w:widowControl w:val="0"/>
        <w:tabs>
          <w:tab w:val="left" w:pos="2127"/>
        </w:tabs>
        <w:kinsoku/>
        <w:wordWrap/>
        <w:overflowPunct/>
        <w:topLinePunct w:val="0"/>
        <w:autoSpaceDE/>
        <w:autoSpaceDN/>
        <w:bidi w:val="0"/>
        <w:adjustRightInd/>
        <w:snapToGrid w:val="0"/>
        <w:spacing w:before="120" w:beforeLines="0" w:after="120" w:afterLines="0" w:line="240" w:lineRule="auto"/>
        <w:textAlignment w:val="auto"/>
        <w:outlineLvl w:val="1"/>
        <w:rPr>
          <w:rFonts w:hint="eastAsia" w:cs="Times New Roman"/>
          <w:b/>
          <w:bCs/>
          <w:sz w:val="20"/>
          <w:szCs w:val="20"/>
          <w:lang w:val="en-US" w:eastAsia="zh-CN"/>
        </w:rPr>
      </w:pPr>
      <w:r>
        <w:rPr>
          <w:rFonts w:hint="eastAsia" w:cs="Times New Roman"/>
          <w:b/>
          <w:bCs/>
          <w:sz w:val="20"/>
          <w:szCs w:val="20"/>
          <w:lang w:val="en-US" w:eastAsia="zh-CN"/>
        </w:rPr>
        <w:t>2.2 Current situation</w:t>
      </w:r>
    </w:p>
    <w:p>
      <w:pPr>
        <w:keepNext/>
        <w:keepLines/>
        <w:pageBreakBefore w:val="0"/>
        <w:kinsoku/>
        <w:wordWrap/>
        <w:topLinePunct w:val="0"/>
        <w:bidi w:val="0"/>
        <w:spacing w:before="120" w:beforeLines="0" w:after="120" w:afterLines="0"/>
        <w:rPr>
          <w:rFonts w:hint="eastAsia"/>
          <w:sz w:val="20"/>
          <w:lang w:val="en-US" w:eastAsia="zh-CN"/>
        </w:rPr>
      </w:pPr>
      <w:r>
        <w:rPr>
          <w:rFonts w:hint="eastAsia"/>
          <w:sz w:val="20"/>
          <w:lang w:val="en-US" w:eastAsia="zh-CN"/>
        </w:rPr>
        <w:t>For ATG BS, no matter only single carrier operation or intra/inter band CA operation, the RF frameworks are based on the NR BS.</w:t>
      </w:r>
    </w:p>
    <w:p>
      <w:pPr>
        <w:keepNext/>
        <w:keepLines/>
        <w:pageBreakBefore w:val="0"/>
        <w:kinsoku/>
        <w:wordWrap/>
        <w:topLinePunct w:val="0"/>
        <w:bidi w:val="0"/>
        <w:spacing w:before="120" w:beforeLines="0" w:after="120" w:afterLines="0"/>
        <w:rPr>
          <w:rFonts w:hint="default"/>
          <w:sz w:val="20"/>
          <w:lang w:val="en-US" w:eastAsia="zh-CN"/>
        </w:rPr>
      </w:pPr>
      <w:r>
        <w:rPr>
          <w:rFonts w:hint="eastAsia"/>
          <w:sz w:val="20"/>
          <w:lang w:val="en-US" w:eastAsia="zh-CN"/>
        </w:rPr>
        <w:t xml:space="preserve">For ATG enhancement, in terms of the WID [3], the band combination have been included clearly.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8"/>
              </w:numPr>
              <w:kinsoku/>
              <w:wordWrap/>
              <w:overflowPunct/>
              <w:topLinePunct w:val="0"/>
              <w:autoSpaceDE/>
              <w:autoSpaceDN/>
              <w:bidi w:val="0"/>
              <w:adjustRightInd/>
              <w:spacing w:before="60" w:after="60"/>
              <w:ind w:left="420" w:hanging="420"/>
              <w:contextualSpacing/>
              <w:textAlignment w:val="auto"/>
              <w:rPr>
                <w:rFonts w:ascii="Times" w:hAnsi="Times" w:eastAsia="等线" w:cs="Times New Roman"/>
                <w:szCs w:val="24"/>
                <w:lang w:val="en-GB" w:eastAsia="zh-CN" w:bidi="ar-SA"/>
              </w:rPr>
            </w:pPr>
            <w:r>
              <w:rPr>
                <w:rFonts w:ascii="Times" w:hAnsi="Times" w:eastAsia="等线" w:cs="Times New Roman"/>
                <w:szCs w:val="24"/>
                <w:lang w:val="en-GB" w:eastAsia="zh-CN" w:bidi="ar-SA"/>
              </w:rPr>
              <w:t>Specify the RF and RRM core requirements for intra-band co-located and inter-band co-located DL CA</w:t>
            </w:r>
            <w:r>
              <w:rPr>
                <w:rFonts w:hint="eastAsia" w:ascii="Times" w:hAnsi="Times" w:eastAsia="等线" w:cs="Times New Roman"/>
                <w:szCs w:val="24"/>
                <w:lang w:val="en-GB" w:eastAsia="zh-CN" w:bidi="ar-SA"/>
              </w:rPr>
              <w:t xml:space="preserve"> [RAN4]</w:t>
            </w:r>
            <w:r>
              <w:rPr>
                <w:rFonts w:ascii="Times" w:hAnsi="Times" w:eastAsia="等线" w:cs="Times New Roman"/>
                <w:szCs w:val="24"/>
                <w:lang w:val="en-GB" w:eastAsia="zh-CN" w:bidi="ar-SA"/>
              </w:rPr>
              <w:t>:</w:t>
            </w:r>
          </w:p>
          <w:p>
            <w:pPr>
              <w:keepNext/>
              <w:keepLines/>
              <w:pageBreakBefore w:val="0"/>
              <w:numPr>
                <w:ilvl w:val="1"/>
                <w:numId w:val="8"/>
              </w:numPr>
              <w:kinsoku/>
              <w:wordWrap/>
              <w:overflowPunct w:val="0"/>
              <w:topLinePunct w:val="0"/>
              <w:autoSpaceDE w:val="0"/>
              <w:autoSpaceDN w:val="0"/>
              <w:bidi w:val="0"/>
              <w:adjustRightInd w:val="0"/>
              <w:spacing w:before="0" w:after="180"/>
              <w:ind w:left="840" w:hanging="420"/>
              <w:contextualSpacing/>
              <w:textAlignment w:val="baseline"/>
              <w:rPr>
                <w:rFonts w:ascii="Times" w:hAnsi="Times" w:eastAsia="等线" w:cs="Times New Roman"/>
                <w:szCs w:val="24"/>
                <w:lang w:val="en-GB" w:eastAsia="zh-CN" w:bidi="ar-SA"/>
              </w:rPr>
            </w:pPr>
            <w:r>
              <w:rPr>
                <w:rFonts w:ascii="Times" w:hAnsi="Times" w:eastAsia="等线" w:cs="Times New Roman"/>
                <w:szCs w:val="24"/>
                <w:lang w:val="en-GB" w:eastAsia="zh-CN" w:bidi="ar-SA"/>
              </w:rPr>
              <w:t>FR1 intra-band contiguous CA</w:t>
            </w:r>
          </w:p>
          <w:p>
            <w:pPr>
              <w:keepNext/>
              <w:keepLines/>
              <w:pageBreakBefore w:val="0"/>
              <w:numPr>
                <w:ilvl w:val="2"/>
                <w:numId w:val="8"/>
              </w:numPr>
              <w:kinsoku/>
              <w:wordWrap/>
              <w:overflowPunct w:val="0"/>
              <w:topLinePunct w:val="0"/>
              <w:autoSpaceDE w:val="0"/>
              <w:autoSpaceDN w:val="0"/>
              <w:bidi w:val="0"/>
              <w:adjustRightInd w:val="0"/>
              <w:spacing w:before="0" w:after="180"/>
              <w:ind w:left="1260" w:hanging="420"/>
              <w:contextualSpacing/>
              <w:textAlignment w:val="baseline"/>
              <w:rPr>
                <w:rFonts w:ascii="Times" w:hAnsi="Times" w:eastAsia="等线" w:cs="Times New Roman"/>
                <w:szCs w:val="24"/>
                <w:lang w:val="en-GB" w:eastAsia="zh-CN" w:bidi="ar-SA"/>
              </w:rPr>
            </w:pPr>
            <w:r>
              <w:rPr>
                <w:rFonts w:hint="eastAsia" w:ascii="Times" w:hAnsi="Times" w:eastAsia="等线" w:cs="Times New Roman"/>
                <w:szCs w:val="24"/>
                <w:lang w:val="en-GB" w:eastAsia="zh-CN" w:bidi="ar-SA"/>
              </w:rPr>
              <w:t>Example band combination: CA_n79C</w:t>
            </w:r>
          </w:p>
          <w:p>
            <w:pPr>
              <w:keepNext/>
              <w:keepLines/>
              <w:pageBreakBefore w:val="0"/>
              <w:numPr>
                <w:ilvl w:val="1"/>
                <w:numId w:val="8"/>
              </w:numPr>
              <w:kinsoku/>
              <w:wordWrap/>
              <w:overflowPunct w:val="0"/>
              <w:topLinePunct w:val="0"/>
              <w:autoSpaceDE w:val="0"/>
              <w:autoSpaceDN w:val="0"/>
              <w:bidi w:val="0"/>
              <w:adjustRightInd w:val="0"/>
              <w:spacing w:before="0" w:after="180"/>
              <w:ind w:left="840" w:hanging="420"/>
              <w:contextualSpacing/>
              <w:textAlignment w:val="baseline"/>
              <w:rPr>
                <w:rFonts w:ascii="Times" w:hAnsi="Times" w:eastAsia="等线" w:cs="Times New Roman"/>
                <w:szCs w:val="24"/>
                <w:lang w:val="en-GB" w:eastAsia="zh-CN" w:bidi="ar-SA"/>
              </w:rPr>
            </w:pPr>
            <w:r>
              <w:rPr>
                <w:rFonts w:ascii="Times" w:hAnsi="Times" w:eastAsia="等线" w:cs="Times New Roman"/>
                <w:szCs w:val="24"/>
                <w:lang w:val="en-GB" w:eastAsia="zh-CN" w:bidi="ar-SA"/>
              </w:rPr>
              <w:t>FR1+FR1 inter-band CA</w:t>
            </w:r>
          </w:p>
          <w:p>
            <w:pPr>
              <w:keepNext/>
              <w:keepLines/>
              <w:pageBreakBefore w:val="0"/>
              <w:numPr>
                <w:ilvl w:val="2"/>
                <w:numId w:val="8"/>
              </w:numPr>
              <w:kinsoku/>
              <w:wordWrap/>
              <w:overflowPunct w:val="0"/>
              <w:topLinePunct w:val="0"/>
              <w:autoSpaceDE w:val="0"/>
              <w:autoSpaceDN w:val="0"/>
              <w:bidi w:val="0"/>
              <w:adjustRightInd w:val="0"/>
              <w:spacing w:before="0" w:after="180"/>
              <w:ind w:left="1260" w:hanging="420"/>
              <w:contextualSpacing/>
              <w:textAlignment w:val="baseline"/>
              <w:rPr>
                <w:rFonts w:hint="default"/>
                <w:vertAlign w:val="baseline"/>
                <w:lang w:val="en-US" w:eastAsia="zh-CN"/>
              </w:rPr>
            </w:pPr>
            <w:r>
              <w:rPr>
                <w:rFonts w:hint="eastAsia" w:ascii="Times" w:hAnsi="Times" w:eastAsia="等线" w:cs="Times New Roman"/>
                <w:szCs w:val="24"/>
                <w:lang w:val="en-GB" w:eastAsia="zh-CN" w:bidi="ar-SA"/>
              </w:rPr>
              <w:t>Example band combination: CA_n3A-n39A</w:t>
            </w:r>
          </w:p>
        </w:tc>
      </w:tr>
    </w:tbl>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sz w:val="20"/>
          <w:szCs w:val="20"/>
          <w:lang w:val="en-US" w:eastAsia="zh-CN"/>
        </w:rPr>
        <w:t>For FR1+FR1 inter-band CA band combination, CA_n3A-n39A is the only one example band combination in the WID, and also there are no other inter-band CA band combination proposed by companies as of today. It means the discussion for ATG enhancement only focus on the example band combinations captured in the WID, this is also true for ATG UE discussion where only the MSD requirements of CA_n3A-n39A are discussed.</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cs="Times New Roman"/>
          <w:sz w:val="20"/>
          <w:szCs w:val="20"/>
          <w:lang w:val="en-US" w:eastAsia="zh-CN"/>
        </w:rPr>
      </w:pPr>
      <w:r>
        <w:rPr>
          <w:rFonts w:hint="eastAsia"/>
          <w:b/>
          <w:bCs/>
          <w:i/>
          <w:iCs/>
          <w:sz w:val="20"/>
          <w:szCs w:val="20"/>
          <w:lang w:val="en-US" w:eastAsia="zh-CN"/>
        </w:rPr>
        <w:t xml:space="preserve">Observation 2: Except the example band combination in the WID, there are no other band combinations proposed by company in Rel-19. </w:t>
      </w:r>
    </w:p>
    <w:p>
      <w:pPr>
        <w:keepNext/>
        <w:keepLines/>
        <w:pageBreakBefore w:val="0"/>
        <w:widowControl w:val="0"/>
        <w:tabs>
          <w:tab w:val="left" w:pos="2127"/>
        </w:tabs>
        <w:kinsoku/>
        <w:wordWrap/>
        <w:overflowPunct/>
        <w:topLinePunct w:val="0"/>
        <w:autoSpaceDE/>
        <w:autoSpaceDN/>
        <w:bidi w:val="0"/>
        <w:adjustRightInd/>
        <w:snapToGrid w:val="0"/>
        <w:spacing w:before="120" w:beforeLines="0" w:after="120" w:afterLines="0" w:line="240" w:lineRule="auto"/>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 xml:space="preserve">The discussion for ATG BS CA supporting multi-band operation happened in RAN4 #113 meeting, and the conclusion were achieved quickly and it was captured in the WF[1] as below: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keepLines/>
              <w:pageBreakBefore w:val="0"/>
              <w:widowControl/>
              <w:numPr>
                <w:ilvl w:val="0"/>
                <w:numId w:val="0"/>
              </w:numPr>
              <w:kinsoku/>
              <w:wordWrap/>
              <w:overflowPunct w:val="0"/>
              <w:topLinePunct w:val="0"/>
              <w:autoSpaceDE w:val="0"/>
              <w:autoSpaceDN w:val="0"/>
              <w:bidi w:val="0"/>
              <w:adjustRightInd w:val="0"/>
              <w:snapToGrid/>
              <w:spacing w:before="120" w:beforeLines="0" w:after="120" w:afterLines="0"/>
              <w:textAlignment w:val="baseline"/>
              <w:outlineLvl w:val="3"/>
              <w:rPr>
                <w:rFonts w:hint="eastAsia" w:ascii="Arial" w:hAnsi="Arial" w:eastAsia="MS Mincho" w:cs="Arial"/>
                <w:b/>
                <w:color w:val="auto"/>
                <w:sz w:val="20"/>
                <w:szCs w:val="20"/>
                <w:u w:val="single"/>
                <w:lang w:val="en-US" w:eastAsia="zh-CN" w:bidi="ar-SA"/>
              </w:rPr>
            </w:pPr>
            <w:r>
              <w:rPr>
                <w:rFonts w:hint="eastAsia" w:ascii="Arial" w:hAnsi="Arial" w:eastAsia="MS Mincho" w:cs="Arial"/>
                <w:b/>
                <w:color w:val="auto"/>
                <w:sz w:val="20"/>
                <w:szCs w:val="20"/>
                <w:u w:val="single"/>
                <w:lang w:val="en-US" w:eastAsia="ko-KR" w:bidi="ar-SA"/>
              </w:rPr>
              <w:t xml:space="preserve">Issue </w:t>
            </w:r>
            <w:r>
              <w:rPr>
                <w:rFonts w:hint="eastAsia" w:ascii="Arial" w:hAnsi="Arial" w:eastAsia="MS Mincho" w:cs="Arial"/>
                <w:b/>
                <w:color w:val="auto"/>
                <w:sz w:val="20"/>
                <w:szCs w:val="20"/>
                <w:u w:val="single"/>
                <w:lang w:val="en-US" w:eastAsia="zh-CN" w:bidi="ar-SA"/>
              </w:rPr>
              <w:t>1-2</w:t>
            </w:r>
            <w:r>
              <w:rPr>
                <w:rFonts w:hint="eastAsia" w:ascii="Arial" w:hAnsi="Arial" w:eastAsia="MS Mincho" w:cs="Arial"/>
                <w:b/>
                <w:color w:val="auto"/>
                <w:sz w:val="20"/>
                <w:szCs w:val="20"/>
                <w:u w:val="single"/>
                <w:lang w:val="en-US" w:eastAsia="ko-KR" w:bidi="ar-SA"/>
              </w:rPr>
              <w:t>:</w:t>
            </w:r>
            <w:r>
              <w:rPr>
                <w:rFonts w:hint="eastAsia" w:ascii="Arial" w:hAnsi="Arial" w:eastAsia="MS Mincho" w:cs="Arial"/>
                <w:b/>
                <w:color w:val="auto"/>
                <w:sz w:val="20"/>
                <w:szCs w:val="20"/>
                <w:u w:val="single"/>
                <w:lang w:val="en-US" w:eastAsia="zh-CN" w:bidi="ar-SA"/>
              </w:rPr>
              <w:t xml:space="preserve"> Multi-band operation requirement for ATG BS CA </w:t>
            </w:r>
          </w:p>
          <w:p>
            <w:pPr>
              <w:pStyle w:val="33"/>
              <w:keepNext/>
              <w:keepLines/>
              <w:pageBreakBefore w:val="0"/>
              <w:widowControl/>
              <w:numPr>
                <w:ilvl w:val="0"/>
                <w:numId w:val="0"/>
              </w:numPr>
              <w:kinsoku/>
              <w:wordWrap/>
              <w:overflowPunct w:val="0"/>
              <w:topLinePunct w:val="0"/>
              <w:autoSpaceDE w:val="0"/>
              <w:autoSpaceDN w:val="0"/>
              <w:bidi w:val="0"/>
              <w:adjustRightInd w:val="0"/>
              <w:snapToGrid/>
              <w:spacing w:before="120" w:beforeLines="0" w:after="120" w:afterLines="0"/>
              <w:textAlignment w:val="baseline"/>
              <w:outlineLvl w:val="3"/>
              <w:rPr>
                <w:rFonts w:hint="default" w:ascii="Arial" w:hAnsi="Arial" w:eastAsia="MS Mincho" w:cs="Arial"/>
                <w:b/>
                <w:color w:val="auto"/>
                <w:sz w:val="20"/>
                <w:szCs w:val="20"/>
                <w:u w:val="single"/>
                <w:lang w:val="en-US" w:eastAsia="zh-CN" w:bidi="ar-SA"/>
              </w:rPr>
            </w:pPr>
          </w:p>
          <w:p>
            <w:pPr>
              <w:pStyle w:val="33"/>
              <w:keepNext/>
              <w:keepLines/>
              <w:pageBreakBefore w:val="0"/>
              <w:widowControl/>
              <w:numPr>
                <w:ilvl w:val="0"/>
                <w:numId w:val="0"/>
              </w:numPr>
              <w:kinsoku/>
              <w:wordWrap/>
              <w:overflowPunct/>
              <w:topLinePunct w:val="0"/>
              <w:autoSpaceDE/>
              <w:autoSpaceDN/>
              <w:bidi w:val="0"/>
              <w:adjustRightInd/>
              <w:snapToGrid/>
              <w:spacing w:before="120" w:beforeLines="0" w:after="120" w:afterLines="0"/>
              <w:textAlignment w:val="auto"/>
              <w:outlineLvl w:val="9"/>
              <w:rPr>
                <w:rFonts w:hint="eastAsia"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Way Forward</w:t>
            </w:r>
            <w:r>
              <w:rPr>
                <w:rFonts w:hint="eastAsia" w:ascii="Arial" w:hAnsi="Arial" w:eastAsia="宋体" w:cs="Arial"/>
                <w:color w:val="auto"/>
                <w:sz w:val="20"/>
                <w:szCs w:val="20"/>
                <w:lang w:val="en-US" w:eastAsia="zh-CN"/>
              </w:rPr>
              <w:t>：</w:t>
            </w:r>
          </w:p>
          <w:p>
            <w:pPr>
              <w:pStyle w:val="33"/>
              <w:keepNext/>
              <w:keepLines/>
              <w:pageBreakBefore w:val="0"/>
              <w:numPr>
                <w:ilvl w:val="0"/>
                <w:numId w:val="9"/>
              </w:numPr>
              <w:kinsoku/>
              <w:wordWrap/>
              <w:overflowPunct/>
              <w:topLinePunct w:val="0"/>
              <w:autoSpaceDE/>
              <w:autoSpaceDN/>
              <w:bidi w:val="0"/>
              <w:adjustRightInd/>
              <w:spacing w:before="120" w:beforeLines="0" w:after="120" w:afterLines="0"/>
              <w:ind w:left="600" w:leftChars="0" w:hanging="363" w:firstLineChars="0"/>
              <w:textAlignment w:val="auto"/>
              <w:rPr>
                <w:rFonts w:hint="eastAsia" w:ascii="Times New Roman" w:hAnsi="Times New Roman" w:cs="Times New Roman"/>
                <w:sz w:val="20"/>
                <w:szCs w:val="20"/>
                <w:vertAlign w:val="baseline"/>
                <w:lang w:val="en-US" w:eastAsia="zh-CN"/>
              </w:rPr>
            </w:pPr>
            <w:r>
              <w:rPr>
                <w:rFonts w:hint="eastAsia" w:ascii="Arial" w:hAnsi="Arial" w:eastAsia="宋体" w:cs="Arial"/>
                <w:color w:val="auto"/>
                <w:sz w:val="20"/>
                <w:szCs w:val="20"/>
                <w:lang w:val="en-US" w:eastAsia="zh-CN"/>
              </w:rPr>
              <w:t xml:space="preserve">For the CR to TS38.104 to introduce ATG BS CA, remove the sentence </w:t>
            </w:r>
            <w:r>
              <w:rPr>
                <w:rFonts w:hint="default" w:ascii="Arial" w:hAnsi="Arial" w:eastAsia="宋体" w:cs="Arial"/>
                <w:color w:val="auto"/>
                <w:sz w:val="20"/>
                <w:szCs w:val="20"/>
                <w:lang w:val="en-US" w:eastAsia="zh-CN"/>
              </w:rPr>
              <w:t>‘</w:t>
            </w:r>
            <w:r>
              <w:rPr>
                <w:rFonts w:hint="eastAsia" w:ascii="Arial" w:hAnsi="Arial" w:eastAsia="宋体" w:cs="Arial"/>
                <w:color w:val="auto"/>
                <w:sz w:val="20"/>
                <w:szCs w:val="20"/>
                <w:lang w:val="en-US" w:eastAsia="zh-CN"/>
              </w:rPr>
              <w:t>There is no multi-band operation requirement for ATG BS.</w:t>
            </w:r>
            <w:r>
              <w:rPr>
                <w:rFonts w:hint="default" w:ascii="Arial" w:hAnsi="Arial" w:eastAsia="宋体" w:cs="Arial"/>
                <w:color w:val="auto"/>
                <w:sz w:val="20"/>
                <w:szCs w:val="20"/>
                <w:lang w:val="en-US" w:eastAsia="zh-CN"/>
              </w:rPr>
              <w:t>’</w:t>
            </w:r>
            <w:r>
              <w:rPr>
                <w:rFonts w:hint="eastAsia" w:ascii="Arial" w:hAnsi="Arial" w:eastAsia="宋体" w:cs="Arial"/>
                <w:color w:val="auto"/>
                <w:sz w:val="20"/>
                <w:szCs w:val="20"/>
                <w:lang w:val="en-US" w:eastAsia="zh-CN"/>
              </w:rPr>
              <w:t xml:space="preserve"> in clause 4.8.</w:t>
            </w:r>
          </w:p>
        </w:tc>
      </w:tr>
    </w:tbl>
    <w:p>
      <w:pPr>
        <w:keepNext/>
        <w:keepLines/>
        <w:pageBreakBefore w:val="0"/>
        <w:widowControl w:val="0"/>
        <w:tabs>
          <w:tab w:val="left" w:pos="2127"/>
        </w:tabs>
        <w:kinsoku/>
        <w:wordWrap/>
        <w:overflowPunct/>
        <w:topLinePunct w:val="0"/>
        <w:autoSpaceDE/>
        <w:autoSpaceDN/>
        <w:bidi w:val="0"/>
        <w:adjustRightInd/>
        <w:snapToGrid w:val="0"/>
        <w:spacing w:before="120" w:beforeLines="0" w:after="120" w:afterLines="0" w:line="240" w:lineRule="auto"/>
        <w:textAlignment w:val="auto"/>
        <w:rPr>
          <w:rFonts w:hint="eastAsia" w:cs="Times New Roman"/>
          <w:sz w:val="20"/>
          <w:szCs w:val="20"/>
          <w:lang w:val="en-US" w:eastAsia="zh-CN"/>
        </w:rPr>
      </w:pPr>
      <w:r>
        <w:rPr>
          <w:rFonts w:hint="eastAsia" w:cs="Times New Roman"/>
          <w:sz w:val="20"/>
          <w:szCs w:val="20"/>
          <w:lang w:val="en-US" w:eastAsia="zh-CN"/>
        </w:rPr>
        <w:t>Later, the draft CR [2] was endorsed where the above WF was reflected.</w:t>
      </w:r>
    </w:p>
    <w:p>
      <w:pPr>
        <w:keepNext/>
        <w:keepLines/>
        <w:pageBreakBefore w:val="0"/>
        <w:widowControl w:val="0"/>
        <w:tabs>
          <w:tab w:val="left" w:pos="2127"/>
        </w:tabs>
        <w:kinsoku/>
        <w:wordWrap/>
        <w:overflowPunct/>
        <w:topLinePunct w:val="0"/>
        <w:autoSpaceDE/>
        <w:autoSpaceDN/>
        <w:bidi w:val="0"/>
        <w:adjustRightInd/>
        <w:snapToGrid w:val="0"/>
        <w:spacing w:before="120" w:beforeLines="0" w:after="120" w:afterLines="0" w:line="240" w:lineRule="auto"/>
        <w:textAlignment w:val="auto"/>
        <w:rPr>
          <w:rFonts w:hint="eastAsia" w:cs="Times New Roman"/>
          <w:sz w:val="20"/>
          <w:szCs w:val="20"/>
          <w:lang w:val="en-US" w:eastAsia="zh-CN"/>
        </w:rPr>
      </w:pPr>
      <w:r>
        <w:rPr>
          <w:rFonts w:hint="eastAsia" w:cs="Times New Roman"/>
          <w:sz w:val="20"/>
          <w:szCs w:val="20"/>
          <w:lang w:val="en-US" w:eastAsia="zh-CN"/>
        </w:rPr>
        <w:t>However, after further checking the specification, we found there are two sentence under sub-clause 4.8 in TS38.104 to say: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before="120" w:beforeLines="0" w:after="120" w:afterLines="0"/>
              <w:textAlignment w:val="baseline"/>
            </w:pPr>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pPr>
              <w:keepNext/>
              <w:keepLines/>
              <w:pageBreakBefore w:val="0"/>
              <w:kinsoku/>
              <w:wordWrap/>
              <w:overflowPunct w:val="0"/>
              <w:topLinePunct w:val="0"/>
              <w:autoSpaceDE w:val="0"/>
              <w:autoSpaceDN w:val="0"/>
              <w:bidi w:val="0"/>
              <w:adjustRightInd w:val="0"/>
              <w:spacing w:before="120" w:beforeLines="0" w:after="120" w:afterLines="0"/>
              <w:textAlignment w:val="baseline"/>
              <w:rPr>
                <w:rFonts w:hint="eastAsia"/>
                <w:lang w:val="en-US" w:eastAsia="zh-CN"/>
              </w:rPr>
            </w:pPr>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w:t>
            </w:r>
            <w:r>
              <w:rPr>
                <w:rFonts w:eastAsia="MS Mincho"/>
                <w:highlight w:val="yellow"/>
              </w:rPr>
              <w:t xml:space="preserve">for both FDD and TDD </w:t>
            </w:r>
            <w:r>
              <w:rPr>
                <w:highlight w:val="yellow"/>
              </w:rPr>
              <w:t>are not covered</w:t>
            </w:r>
            <w:r>
              <w:t xml:space="preserve"> by the present release of this specification.</w:t>
            </w:r>
          </w:p>
        </w:tc>
      </w:tr>
    </w:tbl>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sz w:val="20"/>
          <w:szCs w:val="20"/>
          <w:lang w:val="en-US" w:eastAsia="zh-CN"/>
        </w:rPr>
        <w:t>In TS38.141-1, the corresponding texts can be found under clause 4.11: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before="120" w:beforeLines="0" w:after="120" w:afterLines="0" w:line="240" w:lineRule="auto"/>
              <w:jc w:val="left"/>
              <w:textAlignment w:val="baseline"/>
              <w:rPr>
                <w:rFonts w:ascii="Times New Roman" w:hAnsi="Times New Roman" w:eastAsia="Times New Roman" w:cs="Times New Roman"/>
                <w:kern w:val="0"/>
                <w:sz w:val="20"/>
                <w:lang w:val="en-GB" w:eastAsia="en-GB"/>
              </w:rPr>
            </w:pPr>
            <w:r>
              <w:rPr>
                <w:rFonts w:ascii="Times New Roman" w:hAnsi="Times New Roman" w:eastAsia="Times New Roman" w:cs="Times New Roman"/>
                <w:kern w:val="0"/>
                <w:sz w:val="20"/>
                <w:lang w:val="en-GB" w:eastAsia="en-GB"/>
              </w:rPr>
              <w:t xml:space="preserve">For </w:t>
            </w:r>
            <w:r>
              <w:rPr>
                <w:rFonts w:ascii="Times New Roman" w:hAnsi="Times New Roman" w:eastAsia="Times New Roman" w:cs="Times New Roman"/>
                <w:i/>
                <w:kern w:val="0"/>
                <w:sz w:val="20"/>
                <w:lang w:val="en-GB" w:eastAsia="en-GB"/>
              </w:rPr>
              <w:t>multi-band connectors</w:t>
            </w:r>
            <w:r>
              <w:rPr>
                <w:rFonts w:ascii="Times New Roman" w:hAnsi="Times New Roman" w:eastAsia="Times New Roman" w:cs="Times New Roman"/>
                <w:kern w:val="0"/>
                <w:sz w:val="20"/>
                <w:lang w:val="en-GB" w:eastAsia="en-GB"/>
              </w:rPr>
              <w:t xml:space="preserve"> supporting the bands for TDD, the RF requirements in the present specification assume no simultaneous uplink and downlink occur between the bands.</w:t>
            </w:r>
          </w:p>
          <w:p>
            <w:pPr>
              <w:keepNext/>
              <w:keepLines/>
              <w:pageBreakBefore w:val="0"/>
              <w:kinsoku/>
              <w:wordWrap/>
              <w:overflowPunct w:val="0"/>
              <w:topLinePunct w:val="0"/>
              <w:autoSpaceDE w:val="0"/>
              <w:autoSpaceDN w:val="0"/>
              <w:bidi w:val="0"/>
              <w:adjustRightInd w:val="0"/>
              <w:spacing w:before="120" w:beforeLines="0" w:after="120" w:afterLines="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1: The case of an </w:t>
            </w:r>
            <w:r>
              <w:rPr>
                <w:rFonts w:ascii="Times New Roman" w:hAnsi="Times New Roman" w:eastAsia="Times New Roman" w:cs="Times New Roman"/>
                <w:i/>
                <w:lang w:val="en-GB" w:eastAsia="en-GB" w:bidi="ar-SA"/>
              </w:rPr>
              <w:t>operating band</w:t>
            </w:r>
            <w:r>
              <w:rPr>
                <w:rFonts w:ascii="Times New Roman" w:hAnsi="Times New Roman" w:eastAsia="Times New Roman" w:cs="Times New Roman"/>
                <w:lang w:val="en-GB" w:eastAsia="en-GB" w:bidi="ar-SA"/>
              </w:rPr>
              <w:t xml:space="preserve"> being supported by both </w:t>
            </w:r>
            <w:r>
              <w:rPr>
                <w:rFonts w:ascii="Times New Roman" w:hAnsi="Times New Roman" w:eastAsia="Times New Roman" w:cs="Times New Roman"/>
                <w:i/>
                <w:lang w:val="en-GB" w:eastAsia="en-GB" w:bidi="ar-SA"/>
              </w:rPr>
              <w:t>multi-band connectors</w:t>
            </w:r>
            <w:r>
              <w:rPr>
                <w:rFonts w:ascii="Times New Roman" w:hAnsi="Times New Roman" w:eastAsia="Times New Roman" w:cs="Times New Roman"/>
                <w:lang w:val="en-GB" w:eastAsia="en-GB" w:bidi="ar-SA"/>
              </w:rPr>
              <w:t xml:space="preserve"> and </w:t>
            </w:r>
            <w:r>
              <w:rPr>
                <w:rFonts w:ascii="Times New Roman" w:hAnsi="Times New Roman" w:eastAsia="Times New Roman" w:cs="Times New Roman"/>
                <w:i/>
                <w:lang w:val="en-GB" w:eastAsia="en-GB" w:bidi="ar-SA"/>
              </w:rPr>
              <w:t>single-band connectors</w:t>
            </w:r>
            <w:r>
              <w:rPr>
                <w:rFonts w:ascii="Times New Roman" w:hAnsi="Times New Roman" w:eastAsia="Times New Roman" w:cs="Times New Roman"/>
                <w:lang w:val="en-GB" w:eastAsia="en-GB" w:bidi="ar-SA"/>
              </w:rPr>
              <w:t xml:space="preserve"> in a </w:t>
            </w:r>
            <w:r>
              <w:rPr>
                <w:rFonts w:ascii="Times New Roman" w:hAnsi="Times New Roman" w:eastAsia="Times New Roman" w:cs="Times New Roman"/>
                <w:i/>
                <w:lang w:val="en-GB" w:eastAsia="en-GB" w:bidi="ar-SA"/>
              </w:rPr>
              <w:t xml:space="preserve">TAB connector TX min cell group </w:t>
            </w:r>
            <w:r>
              <w:rPr>
                <w:rFonts w:ascii="Times New Roman" w:hAnsi="Times New Roman" w:eastAsia="Times New Roman" w:cs="Times New Roman"/>
                <w:lang w:val="en-GB" w:eastAsia="en-GB" w:bidi="ar-SA"/>
              </w:rPr>
              <w:t>or a</w:t>
            </w:r>
            <w:r>
              <w:rPr>
                <w:rFonts w:ascii="Times New Roman" w:hAnsi="Times New Roman" w:eastAsia="Times New Roman" w:cs="Times New Roman"/>
                <w:i/>
                <w:lang w:val="en-GB" w:eastAsia="en-GB" w:bidi="ar-SA"/>
              </w:rPr>
              <w:t xml:space="preserve"> TAB connector RX min cell group</w:t>
            </w:r>
            <w:r>
              <w:rPr>
                <w:rFonts w:ascii="Times New Roman" w:hAnsi="Times New Roman" w:eastAsia="Times New Roman" w:cs="Times New Roman"/>
                <w:lang w:val="en-GB" w:eastAsia="en-GB" w:bidi="ar-SA"/>
              </w:rPr>
              <w:t xml:space="preserve"> is not covered by the present release of this specification.</w:t>
            </w:r>
          </w:p>
          <w:p>
            <w:pPr>
              <w:keepNext/>
              <w:keepLines/>
              <w:pageBreakBefore w:val="0"/>
              <w:kinsoku/>
              <w:wordWrap/>
              <w:overflowPunct w:val="0"/>
              <w:topLinePunct w:val="0"/>
              <w:autoSpaceDE w:val="0"/>
              <w:autoSpaceDN w:val="0"/>
              <w:bidi w:val="0"/>
              <w:adjustRightInd w:val="0"/>
              <w:spacing w:before="120" w:beforeLines="0" w:after="120" w:afterLines="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2: The case of an </w:t>
            </w:r>
            <w:r>
              <w:rPr>
                <w:rFonts w:ascii="Times New Roman" w:hAnsi="Times New Roman" w:eastAsia="Times New Roman" w:cs="Times New Roman"/>
                <w:i/>
                <w:lang w:val="en-GB" w:eastAsia="en-GB" w:bidi="ar-SA"/>
              </w:rPr>
              <w:t>operating band</w:t>
            </w:r>
            <w:r>
              <w:rPr>
                <w:rFonts w:ascii="Times New Roman" w:hAnsi="Times New Roman" w:eastAsia="Times New Roman" w:cs="Times New Roman"/>
                <w:lang w:val="en-GB" w:eastAsia="en-GB" w:bidi="ar-SA"/>
              </w:rPr>
              <w:t xml:space="preserve"> being supported by </w:t>
            </w:r>
            <w:r>
              <w:rPr>
                <w:rFonts w:ascii="Times New Roman" w:hAnsi="Times New Roman" w:eastAsia="Times New Roman" w:cs="Times New Roman"/>
                <w:i/>
                <w:lang w:val="en-GB" w:eastAsia="en-GB" w:bidi="ar-SA"/>
              </w:rPr>
              <w:t>multi-band connectors</w:t>
            </w:r>
            <w:r>
              <w:rPr>
                <w:rFonts w:ascii="Times New Roman" w:hAnsi="Times New Roman" w:eastAsia="Times New Roman" w:cs="Times New Roman"/>
                <w:lang w:val="en-GB" w:eastAsia="en-GB" w:bidi="ar-SA"/>
              </w:rPr>
              <w:t xml:space="preserve"> which are not all supporting the same </w:t>
            </w:r>
            <w:r>
              <w:rPr>
                <w:rFonts w:ascii="Times New Roman" w:hAnsi="Times New Roman" w:eastAsia="Times New Roman" w:cs="Times New Roman"/>
                <w:i/>
                <w:lang w:val="en-GB" w:eastAsia="en-GB" w:bidi="ar-SA"/>
              </w:rPr>
              <w:t>operating band</w:t>
            </w:r>
            <w:r>
              <w:rPr>
                <w:rFonts w:ascii="Times New Roman" w:hAnsi="Times New Roman" w:eastAsia="Times New Roman" w:cs="Times New Roman"/>
                <w:lang w:val="en-GB" w:eastAsia="en-GB" w:bidi="ar-SA"/>
              </w:rPr>
              <w:t xml:space="preserve"> combination in a </w:t>
            </w:r>
            <w:r>
              <w:rPr>
                <w:rFonts w:ascii="Times New Roman" w:hAnsi="Times New Roman" w:eastAsia="Times New Roman" w:cs="Times New Roman"/>
                <w:i/>
                <w:lang w:val="en-GB" w:eastAsia="en-GB" w:bidi="ar-SA"/>
              </w:rPr>
              <w:t xml:space="preserve">TAB connector TX min cell group </w:t>
            </w:r>
            <w:r>
              <w:rPr>
                <w:rFonts w:ascii="Times New Roman" w:hAnsi="Times New Roman" w:eastAsia="Times New Roman" w:cs="Times New Roman"/>
                <w:lang w:val="en-GB" w:eastAsia="en-GB" w:bidi="ar-SA"/>
              </w:rPr>
              <w:t>or a</w:t>
            </w:r>
            <w:r>
              <w:rPr>
                <w:rFonts w:ascii="Times New Roman" w:hAnsi="Times New Roman" w:eastAsia="Times New Roman" w:cs="Times New Roman"/>
                <w:i/>
                <w:lang w:val="en-GB" w:eastAsia="en-GB" w:bidi="ar-SA"/>
              </w:rPr>
              <w:t xml:space="preserve"> TAB connector RX min cell group</w:t>
            </w:r>
            <w:r>
              <w:rPr>
                <w:rFonts w:ascii="Times New Roman" w:hAnsi="Times New Roman" w:eastAsia="Times New Roman" w:cs="Times New Roman"/>
                <w:lang w:val="en-GB" w:eastAsia="en-GB" w:bidi="ar-SA"/>
              </w:rPr>
              <w:t xml:space="preserve"> is not covered by the present release of this specification.</w:t>
            </w:r>
          </w:p>
          <w:p>
            <w:pPr>
              <w:keepNext/>
              <w:keepLines/>
              <w:pageBreakBefore w:val="0"/>
              <w:kinsoku/>
              <w:wordWrap/>
              <w:overflowPunct w:val="0"/>
              <w:topLinePunct w:val="0"/>
              <w:autoSpaceDE w:val="0"/>
              <w:autoSpaceDN w:val="0"/>
              <w:bidi w:val="0"/>
              <w:adjustRightInd w:val="0"/>
              <w:spacing w:before="120" w:beforeLines="0" w:after="120" w:afterLines="0"/>
              <w:ind w:left="1135" w:hanging="851"/>
              <w:textAlignment w:val="baseline"/>
              <w:rPr>
                <w:rFonts w:hint="default"/>
                <w:vertAlign w:val="baseline"/>
                <w:lang w:val="en-US" w:eastAsia="zh-CN"/>
              </w:rPr>
            </w:pPr>
            <w:r>
              <w:rPr>
                <w:rFonts w:ascii="Times New Roman" w:hAnsi="Times New Roman" w:eastAsia="MS Mincho" w:cs="Times New Roman"/>
                <w:lang w:val="en-GB" w:eastAsia="en-GB" w:bidi="ar-SA"/>
              </w:rPr>
              <w:t xml:space="preserve">NOTE 3: The conducted test requirements for </w:t>
            </w:r>
            <w:r>
              <w:rPr>
                <w:rFonts w:ascii="Times New Roman" w:hAnsi="Times New Roman" w:eastAsia="MS Mincho" w:cs="Times New Roman"/>
                <w:i/>
                <w:lang w:val="en-GB" w:eastAsia="en-GB" w:bidi="ar-SA"/>
              </w:rPr>
              <w:t>multi-band connectors</w:t>
            </w:r>
            <w:r>
              <w:rPr>
                <w:rFonts w:ascii="Times New Roman" w:hAnsi="Times New Roman" w:eastAsia="MS Mincho" w:cs="Times New Roman"/>
                <w:lang w:val="en-GB" w:eastAsia="en-GB" w:bidi="ar-SA"/>
              </w:rPr>
              <w:t xml:space="preserve"> supporting bands for both FDD and TDD </w:t>
            </w:r>
            <w:r>
              <w:rPr>
                <w:rFonts w:ascii="Times New Roman" w:hAnsi="Times New Roman" w:eastAsia="Times New Roman" w:cs="Times New Roman"/>
                <w:highlight w:val="yellow"/>
                <w:lang w:val="en-GB" w:eastAsia="en-GB" w:bidi="ar-SA"/>
              </w:rPr>
              <w:t>are not covered</w:t>
            </w:r>
            <w:r>
              <w:rPr>
                <w:rFonts w:ascii="Times New Roman" w:hAnsi="Times New Roman" w:eastAsia="Times New Roman" w:cs="Times New Roman"/>
                <w:lang w:val="en-GB" w:eastAsia="en-GB" w:bidi="ar-SA"/>
              </w:rPr>
              <w:t xml:space="preserve"> by the present release of this specification.</w:t>
            </w:r>
          </w:p>
        </w:tc>
      </w:tr>
    </w:tbl>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sz w:val="20"/>
          <w:szCs w:val="20"/>
          <w:lang w:val="en-US" w:eastAsia="zh-CN"/>
        </w:rPr>
        <w:t>In TS38.141-2, the corresponding texts can be found under clause 4.11: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baseline"/>
              <w:rPr>
                <w:sz w:val="20"/>
                <w:szCs w:val="20"/>
              </w:rPr>
            </w:pPr>
            <w:r>
              <w:rPr>
                <w:sz w:val="20"/>
                <w:szCs w:val="20"/>
              </w:rPr>
              <w:t xml:space="preserve">For </w:t>
            </w:r>
            <w:r>
              <w:rPr>
                <w:i/>
                <w:sz w:val="20"/>
                <w:szCs w:val="20"/>
              </w:rPr>
              <w:t>multi-band RIBs</w:t>
            </w:r>
            <w:r>
              <w:rPr>
                <w:sz w:val="20"/>
                <w:szCs w:val="20"/>
              </w:rPr>
              <w:t xml:space="preserve"> supporting the bands for TDD, the radiated test requirements in the present specification assume no simultaneous uplink and downlink occur between the bands.</w:t>
            </w:r>
          </w:p>
          <w:p>
            <w:pPr>
              <w:pStyle w:val="62"/>
              <w:keepNext/>
              <w:keepLines/>
              <w:pageBreakBefore w:val="0"/>
              <w:kinsoku/>
              <w:wordWrap/>
              <w:overflowPunct w:val="0"/>
              <w:topLinePunct w:val="0"/>
              <w:autoSpaceDE w:val="0"/>
              <w:autoSpaceDN w:val="0"/>
              <w:bidi w:val="0"/>
              <w:adjustRightInd w:val="0"/>
              <w:spacing w:after="180"/>
              <w:textAlignment w:val="baseline"/>
              <w:rPr>
                <w:rFonts w:hint="eastAsia"/>
                <w:sz w:val="20"/>
                <w:szCs w:val="20"/>
                <w:vertAlign w:val="baseline"/>
                <w:lang w:val="en-US" w:eastAsia="zh-CN"/>
              </w:rPr>
            </w:pPr>
            <w:r>
              <w:rPr>
                <w:rFonts w:eastAsia="MS Mincho"/>
                <w:sz w:val="20"/>
                <w:szCs w:val="20"/>
              </w:rPr>
              <w:t>NOTE:</w:t>
            </w:r>
            <w:r>
              <w:rPr>
                <w:rFonts w:eastAsia="MS Mincho"/>
                <w:sz w:val="20"/>
                <w:szCs w:val="20"/>
              </w:rPr>
              <w:tab/>
            </w:r>
            <w:r>
              <w:rPr>
                <w:rFonts w:eastAsia="MS Mincho"/>
                <w:sz w:val="20"/>
                <w:szCs w:val="20"/>
              </w:rPr>
              <w:t xml:space="preserve">The radiated test requirements for </w:t>
            </w:r>
            <w:r>
              <w:rPr>
                <w:rFonts w:eastAsia="MS Mincho"/>
                <w:i/>
                <w:iCs/>
                <w:sz w:val="20"/>
                <w:szCs w:val="20"/>
              </w:rPr>
              <w:t>multi-band RIBs</w:t>
            </w:r>
            <w:r>
              <w:rPr>
                <w:rFonts w:eastAsia="MS Mincho"/>
                <w:sz w:val="20"/>
                <w:szCs w:val="20"/>
              </w:rPr>
              <w:t xml:space="preserve"> supporting bands for </w:t>
            </w:r>
            <w:r>
              <w:rPr>
                <w:rFonts w:eastAsia="MS Mincho"/>
                <w:sz w:val="20"/>
                <w:szCs w:val="20"/>
                <w:highlight w:val="yellow"/>
              </w:rPr>
              <w:t xml:space="preserve">both FDD and TDD </w:t>
            </w:r>
            <w:r>
              <w:rPr>
                <w:sz w:val="20"/>
                <w:szCs w:val="20"/>
                <w:highlight w:val="yellow"/>
              </w:rPr>
              <w:t>are not covered</w:t>
            </w:r>
            <w:r>
              <w:rPr>
                <w:sz w:val="20"/>
                <w:szCs w:val="20"/>
              </w:rPr>
              <w:t xml:space="preserve"> by the present release of this specification.</w:t>
            </w:r>
          </w:p>
        </w:tc>
      </w:tr>
    </w:tbl>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sz w:val="20"/>
          <w:szCs w:val="20"/>
          <w:lang w:val="en-US" w:eastAsia="zh-CN"/>
        </w:rPr>
        <w:t xml:space="preserve">It can be seen that there are no RF requirements and test requirement defined for </w:t>
      </w:r>
      <w:r>
        <w:rPr>
          <w:rFonts w:eastAsia="MS Mincho"/>
          <w:i/>
          <w:sz w:val="20"/>
          <w:szCs w:val="20"/>
        </w:rPr>
        <w:t>multi-band connectors</w:t>
      </w:r>
      <w:r>
        <w:rPr>
          <w:rFonts w:eastAsia="MS Mincho"/>
          <w:sz w:val="20"/>
          <w:szCs w:val="20"/>
        </w:rPr>
        <w:t xml:space="preserve"> and </w:t>
      </w:r>
      <w:r>
        <w:rPr>
          <w:rFonts w:eastAsia="MS Mincho"/>
          <w:i/>
          <w:sz w:val="20"/>
          <w:szCs w:val="20"/>
        </w:rPr>
        <w:t>multi-band RIBs</w:t>
      </w:r>
      <w:r>
        <w:rPr>
          <w:rFonts w:eastAsia="MS Mincho"/>
          <w:sz w:val="20"/>
          <w:szCs w:val="20"/>
        </w:rPr>
        <w:t xml:space="preserve"> supporting bands </w:t>
      </w:r>
      <w:r>
        <w:rPr>
          <w:rFonts w:eastAsia="MS Mincho"/>
          <w:sz w:val="20"/>
          <w:szCs w:val="20"/>
          <w:highlight w:val="none"/>
        </w:rPr>
        <w:t xml:space="preserve">for both FDD and TDD </w:t>
      </w:r>
      <w:r>
        <w:rPr>
          <w:sz w:val="20"/>
          <w:szCs w:val="20"/>
          <w:highlight w:val="none"/>
        </w:rPr>
        <w:t>are not covered</w:t>
      </w:r>
      <w:r>
        <w:rPr>
          <w:sz w:val="20"/>
          <w:szCs w:val="20"/>
        </w:rPr>
        <w:t xml:space="preserve"> </w:t>
      </w:r>
      <w:r>
        <w:rPr>
          <w:rFonts w:hint="eastAsia"/>
          <w:sz w:val="20"/>
          <w:szCs w:val="20"/>
          <w:lang w:val="en-US" w:eastAsia="zh-CN"/>
        </w:rPr>
        <w:t xml:space="preserve">in </w:t>
      </w:r>
      <w:r>
        <w:rPr>
          <w:sz w:val="20"/>
          <w:szCs w:val="20"/>
        </w:rPr>
        <w:t xml:space="preserve">the present release of </w:t>
      </w:r>
      <w:r>
        <w:rPr>
          <w:rFonts w:hint="eastAsia"/>
          <w:sz w:val="20"/>
          <w:szCs w:val="20"/>
          <w:lang w:val="en-US" w:eastAsia="zh-CN"/>
        </w:rPr>
        <w:t xml:space="preserve">TS38.104 and TS38.141-1/2 </w:t>
      </w:r>
      <w:r>
        <w:rPr>
          <w:sz w:val="20"/>
          <w:szCs w:val="20"/>
        </w:rPr>
        <w:t>specification</w:t>
      </w:r>
      <w:r>
        <w:rPr>
          <w:rFonts w:hint="eastAsia"/>
          <w:sz w:val="20"/>
          <w:szCs w:val="20"/>
          <w:lang w:val="en-US" w:eastAsia="zh-CN"/>
        </w:rPr>
        <w:t>. In other words, only the multiple bands with both FDD and FDD bands, or both TDD and TDD bands with</w:t>
      </w:r>
      <w:r>
        <w:rPr>
          <w:sz w:val="20"/>
          <w:szCs w:val="20"/>
        </w:rPr>
        <w:t xml:space="preserve"> no simultaneous</w:t>
      </w:r>
      <w:r>
        <w:rPr>
          <w:rFonts w:hint="eastAsia"/>
          <w:sz w:val="20"/>
          <w:szCs w:val="20"/>
          <w:lang w:val="en-US" w:eastAsia="zh-CN"/>
        </w:rPr>
        <w:t xml:space="preserve"> Rx/Tx can be supported for a multi-band connector/RIBs.</w:t>
      </w:r>
    </w:p>
    <w:p>
      <w:pPr>
        <w:keepNext/>
        <w:keepLines/>
        <w:pageBreakBefore w:val="0"/>
        <w:kinsoku/>
        <w:wordWrap/>
        <w:topLinePunct w:val="0"/>
        <w:bidi w:val="0"/>
        <w:spacing w:before="120" w:beforeLines="0" w:after="120" w:afterLines="0"/>
        <w:rPr>
          <w:rFonts w:hint="default"/>
          <w:sz w:val="20"/>
          <w:szCs w:val="20"/>
          <w:lang w:val="en-US" w:eastAsia="zh-CN"/>
        </w:rPr>
      </w:pPr>
      <w:r>
        <w:rPr>
          <w:rFonts w:hint="eastAsia"/>
          <w:sz w:val="20"/>
          <w:szCs w:val="20"/>
          <w:lang w:val="en-US" w:eastAsia="zh-CN"/>
        </w:rPr>
        <w:t>The above texts have been existed in the specifications of TS38.104/TS38.141-1/2 from Rel-15.</w:t>
      </w:r>
    </w:p>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sz w:val="20"/>
          <w:szCs w:val="20"/>
          <w:lang w:val="en-US" w:eastAsia="zh-CN"/>
        </w:rPr>
        <w:t xml:space="preserve">Actually in the beginning of Rel-15, when the specifications of TS38.104/TS38.141-1/2 was generated, the NR BS RF framework/requirements were largely based on the LTE BS RF requirement. For multi-band requirements, although the terminology was changed to </w:t>
      </w:r>
      <w:r>
        <w:rPr>
          <w:rFonts w:hint="default"/>
          <w:sz w:val="20"/>
          <w:szCs w:val="20"/>
          <w:lang w:val="en-US" w:eastAsia="zh-CN"/>
        </w:rPr>
        <w:t>‘</w:t>
      </w:r>
      <w:r>
        <w:rPr>
          <w:rFonts w:hint="eastAsia"/>
          <w:sz w:val="20"/>
          <w:szCs w:val="20"/>
          <w:lang w:val="en-US" w:eastAsia="zh-CN"/>
        </w:rPr>
        <w:t>multi-band connector</w:t>
      </w:r>
      <w:r>
        <w:rPr>
          <w:rFonts w:hint="default"/>
          <w:sz w:val="20"/>
          <w:szCs w:val="20"/>
          <w:lang w:val="en-US" w:eastAsia="zh-CN"/>
        </w:rPr>
        <w:t>’</w:t>
      </w:r>
      <w:r>
        <w:rPr>
          <w:rFonts w:hint="eastAsia"/>
          <w:sz w:val="20"/>
          <w:szCs w:val="20"/>
          <w:lang w:val="en-US" w:eastAsia="zh-CN"/>
        </w:rPr>
        <w:t xml:space="preserve"> or </w:t>
      </w:r>
      <w:r>
        <w:rPr>
          <w:rFonts w:hint="default"/>
          <w:sz w:val="20"/>
          <w:szCs w:val="20"/>
          <w:lang w:val="en-US" w:eastAsia="zh-CN"/>
        </w:rPr>
        <w:t>‘</w:t>
      </w:r>
      <w:r>
        <w:rPr>
          <w:rFonts w:hint="eastAsia"/>
          <w:sz w:val="20"/>
          <w:szCs w:val="20"/>
          <w:lang w:val="en-US" w:eastAsia="zh-CN"/>
        </w:rPr>
        <w:t>multi-band RIBs</w:t>
      </w:r>
      <w:r>
        <w:rPr>
          <w:rFonts w:hint="default"/>
          <w:sz w:val="20"/>
          <w:szCs w:val="20"/>
          <w:lang w:val="en-US" w:eastAsia="zh-CN"/>
        </w:rPr>
        <w:t>’</w:t>
      </w:r>
      <w:r>
        <w:rPr>
          <w:rFonts w:hint="eastAsia"/>
          <w:sz w:val="20"/>
          <w:szCs w:val="20"/>
          <w:lang w:val="en-US" w:eastAsia="zh-CN"/>
        </w:rPr>
        <w:t xml:space="preserve">, the similar principle of LTE multi-band operation was adopted. </w:t>
      </w:r>
    </w:p>
    <w:p>
      <w:pPr>
        <w:keepNext/>
        <w:keepLines/>
        <w:pageBreakBefore w:val="0"/>
        <w:kinsoku/>
        <w:wordWrap/>
        <w:topLinePunct w:val="0"/>
        <w:bidi w:val="0"/>
        <w:spacing w:before="120" w:beforeLines="0" w:after="120" w:afterLines="0"/>
        <w:rPr>
          <w:rFonts w:hint="default"/>
          <w:b/>
          <w:bCs/>
          <w:i/>
          <w:iCs/>
          <w:sz w:val="20"/>
          <w:szCs w:val="20"/>
          <w:lang w:val="en-US" w:eastAsia="zh-CN"/>
        </w:rPr>
      </w:pPr>
      <w:r>
        <w:rPr>
          <w:rFonts w:hint="eastAsia"/>
          <w:b/>
          <w:bCs/>
          <w:i/>
          <w:iCs/>
          <w:sz w:val="20"/>
          <w:szCs w:val="20"/>
          <w:lang w:val="en-US" w:eastAsia="zh-CN"/>
        </w:rPr>
        <w:t>Observation 3: The requirements for NR BS capable of multi-band operation adopt the similar principle as LTE BS.</w:t>
      </w:r>
    </w:p>
    <w:p>
      <w:pPr>
        <w:keepNext/>
        <w:keepLines/>
        <w:pageBreakBefore w:val="0"/>
        <w:kinsoku/>
        <w:wordWrap/>
        <w:topLinePunct w:val="0"/>
        <w:bidi w:val="0"/>
        <w:spacing w:before="120" w:beforeLines="0" w:after="120" w:afterLines="0"/>
        <w:rPr>
          <w:rFonts w:hint="eastAsia"/>
          <w:b/>
          <w:bCs/>
          <w:i/>
          <w:iCs/>
          <w:sz w:val="20"/>
          <w:szCs w:val="20"/>
          <w:lang w:val="en-US" w:eastAsia="zh-CN"/>
        </w:rPr>
      </w:pPr>
      <w:r>
        <w:rPr>
          <w:rFonts w:hint="eastAsia"/>
          <w:b/>
          <w:bCs/>
          <w:i/>
          <w:iCs/>
          <w:sz w:val="20"/>
          <w:szCs w:val="20"/>
          <w:lang w:val="en-US" w:eastAsia="zh-CN"/>
        </w:rPr>
        <w:t xml:space="preserve">Observation 4: There are no RF requirements and test requirement defined for </w:t>
      </w:r>
      <w:r>
        <w:rPr>
          <w:rFonts w:eastAsia="MS Mincho"/>
          <w:b/>
          <w:bCs/>
          <w:i/>
          <w:iCs/>
          <w:sz w:val="20"/>
          <w:szCs w:val="20"/>
        </w:rPr>
        <w:t xml:space="preserve">multi-band connectors and multi-band RIBs supporting bands </w:t>
      </w:r>
      <w:r>
        <w:rPr>
          <w:rFonts w:eastAsia="MS Mincho"/>
          <w:b/>
          <w:bCs/>
          <w:i/>
          <w:iCs/>
          <w:sz w:val="20"/>
          <w:szCs w:val="20"/>
          <w:highlight w:val="none"/>
        </w:rPr>
        <w:t xml:space="preserve">for both FDD and TDD </w:t>
      </w:r>
      <w:r>
        <w:rPr>
          <w:b/>
          <w:bCs/>
          <w:i/>
          <w:iCs/>
          <w:sz w:val="20"/>
          <w:szCs w:val="20"/>
          <w:highlight w:val="none"/>
        </w:rPr>
        <w:t xml:space="preserve">are not covered </w:t>
      </w:r>
      <w:r>
        <w:rPr>
          <w:rFonts w:hint="eastAsia"/>
          <w:b/>
          <w:bCs/>
          <w:i/>
          <w:iCs/>
          <w:sz w:val="20"/>
          <w:szCs w:val="20"/>
          <w:lang w:val="en-US" w:eastAsia="zh-CN"/>
        </w:rPr>
        <w:t xml:space="preserve">in </w:t>
      </w:r>
      <w:r>
        <w:rPr>
          <w:b/>
          <w:bCs/>
          <w:i/>
          <w:iCs/>
          <w:sz w:val="20"/>
          <w:szCs w:val="20"/>
        </w:rPr>
        <w:t xml:space="preserve">the present release of </w:t>
      </w:r>
      <w:r>
        <w:rPr>
          <w:rFonts w:hint="eastAsia"/>
          <w:b/>
          <w:bCs/>
          <w:i/>
          <w:iCs/>
          <w:sz w:val="20"/>
          <w:szCs w:val="20"/>
          <w:lang w:val="en-US" w:eastAsia="zh-CN"/>
        </w:rPr>
        <w:t xml:space="preserve">TS38.104 and TS38.141-1/2 </w:t>
      </w:r>
      <w:r>
        <w:rPr>
          <w:b/>
          <w:bCs/>
          <w:i/>
          <w:iCs/>
          <w:sz w:val="20"/>
          <w:szCs w:val="20"/>
        </w:rPr>
        <w:t>specification</w:t>
      </w:r>
      <w:r>
        <w:rPr>
          <w:rFonts w:hint="eastAsia"/>
          <w:b/>
          <w:bCs/>
          <w:i/>
          <w:iCs/>
          <w:sz w:val="20"/>
          <w:szCs w:val="20"/>
          <w:lang w:val="en-US" w:eastAsia="zh-CN"/>
        </w:rPr>
        <w:t>. In other words, only the multiple bands with both FDD and FDD bands, or both TDD and TDD bands with</w:t>
      </w:r>
      <w:r>
        <w:rPr>
          <w:b/>
          <w:bCs/>
          <w:i/>
          <w:iCs/>
          <w:sz w:val="20"/>
          <w:szCs w:val="20"/>
        </w:rPr>
        <w:t xml:space="preserve"> no simultaneous</w:t>
      </w:r>
      <w:r>
        <w:rPr>
          <w:rFonts w:hint="eastAsia"/>
          <w:b/>
          <w:bCs/>
          <w:i/>
          <w:iCs/>
          <w:sz w:val="20"/>
          <w:szCs w:val="20"/>
          <w:lang w:val="en-US" w:eastAsia="zh-CN"/>
        </w:rPr>
        <w:t xml:space="preserve"> Rx/Tx can be supported for a multi-band connector/RIBs.</w:t>
      </w:r>
    </w:p>
    <w:p>
      <w:pPr>
        <w:keepNext/>
        <w:keepLines/>
        <w:pageBreakBefore w:val="0"/>
        <w:kinsoku/>
        <w:wordWrap/>
        <w:topLinePunct w:val="0"/>
        <w:bidi w:val="0"/>
        <w:spacing w:before="120" w:beforeLines="0" w:after="120" w:afterLines="0"/>
        <w:rPr>
          <w:rFonts w:hint="default"/>
          <w:b w:val="0"/>
          <w:bCs w:val="0"/>
          <w:i w:val="0"/>
          <w:iCs w:val="0"/>
          <w:sz w:val="20"/>
          <w:szCs w:val="20"/>
          <w:lang w:val="en-US" w:eastAsia="zh-CN"/>
        </w:rPr>
      </w:pPr>
      <w:r>
        <w:rPr>
          <w:rFonts w:hint="eastAsia"/>
          <w:b w:val="0"/>
          <w:bCs w:val="0"/>
          <w:i w:val="0"/>
          <w:iCs w:val="0"/>
          <w:sz w:val="20"/>
          <w:szCs w:val="20"/>
          <w:lang w:val="en-US" w:eastAsia="zh-CN"/>
        </w:rPr>
        <w:t xml:space="preserve">When only consider the CA_n3A-n39A FDD-TDD band combination for ATG BS, then removing </w:t>
      </w:r>
      <w:r>
        <w:rPr>
          <w:rFonts w:hint="eastAsia"/>
          <w:sz w:val="20"/>
          <w:szCs w:val="20"/>
          <w:lang w:val="en-US" w:eastAsia="zh-CN"/>
        </w:rPr>
        <w:t xml:space="preserve">the sentence </w:t>
      </w:r>
      <w:r>
        <w:rPr>
          <w:rFonts w:hint="default"/>
          <w:sz w:val="20"/>
          <w:szCs w:val="20"/>
          <w:lang w:val="en-US" w:eastAsia="zh-CN"/>
        </w:rPr>
        <w:t>‘</w:t>
      </w:r>
      <w:r>
        <w:rPr>
          <w:rFonts w:hint="eastAsia"/>
          <w:sz w:val="20"/>
          <w:szCs w:val="20"/>
          <w:lang w:val="en-US" w:eastAsia="zh-CN"/>
        </w:rPr>
        <w:t>There is no multi-band operation requirement for ATG BS.</w:t>
      </w:r>
      <w:r>
        <w:rPr>
          <w:rFonts w:hint="default"/>
          <w:sz w:val="20"/>
          <w:szCs w:val="20"/>
          <w:lang w:val="en-US" w:eastAsia="zh-CN"/>
        </w:rPr>
        <w:t>’</w:t>
      </w:r>
      <w:r>
        <w:rPr>
          <w:rFonts w:hint="eastAsia"/>
          <w:sz w:val="20"/>
          <w:szCs w:val="20"/>
          <w:lang w:val="en-US" w:eastAsia="zh-CN"/>
        </w:rPr>
        <w:t xml:space="preserve"> in clause 4.8 in TS38.104 would cause misunderstanding and discrepancy in the context.</w:t>
      </w:r>
    </w:p>
    <w:p>
      <w:pPr>
        <w:keepNext/>
        <w:keepLines/>
        <w:pageBreakBefore w:val="0"/>
        <w:kinsoku/>
        <w:wordWrap/>
        <w:topLinePunct w:val="0"/>
        <w:bidi w:val="0"/>
        <w:spacing w:before="120" w:beforeLines="0" w:after="120" w:afterLines="0"/>
        <w:rPr>
          <w:rFonts w:hint="default"/>
          <w:b/>
          <w:bCs/>
          <w:i/>
          <w:iCs/>
          <w:sz w:val="20"/>
          <w:szCs w:val="20"/>
          <w:lang w:val="en-US" w:eastAsia="zh-CN"/>
        </w:rPr>
      </w:pPr>
      <w:r>
        <w:rPr>
          <w:rFonts w:hint="eastAsia"/>
          <w:b/>
          <w:bCs/>
          <w:i/>
          <w:iCs/>
          <w:sz w:val="20"/>
          <w:szCs w:val="20"/>
          <w:lang w:val="en-US" w:eastAsia="zh-CN"/>
        </w:rPr>
        <w:t xml:space="preserve">Observation 5: Removing the sentence </w:t>
      </w:r>
      <w:r>
        <w:rPr>
          <w:rFonts w:hint="default"/>
          <w:b/>
          <w:bCs/>
          <w:i/>
          <w:iCs/>
          <w:sz w:val="20"/>
          <w:szCs w:val="20"/>
          <w:lang w:val="en-US" w:eastAsia="zh-CN"/>
        </w:rPr>
        <w:t>‘</w:t>
      </w:r>
      <w:r>
        <w:rPr>
          <w:rFonts w:hint="eastAsia"/>
          <w:b/>
          <w:bCs/>
          <w:i/>
          <w:iCs/>
          <w:sz w:val="20"/>
          <w:szCs w:val="20"/>
          <w:lang w:val="en-US" w:eastAsia="zh-CN"/>
        </w:rPr>
        <w:t>There is no multi-band operation requirement for ATG BS.</w:t>
      </w:r>
      <w:r>
        <w:rPr>
          <w:rFonts w:hint="default"/>
          <w:b/>
          <w:bCs/>
          <w:i/>
          <w:iCs/>
          <w:sz w:val="20"/>
          <w:szCs w:val="20"/>
          <w:lang w:val="en-US" w:eastAsia="zh-CN"/>
        </w:rPr>
        <w:t>’</w:t>
      </w:r>
      <w:r>
        <w:rPr>
          <w:rFonts w:hint="eastAsia"/>
          <w:b/>
          <w:bCs/>
          <w:i/>
          <w:iCs/>
          <w:sz w:val="20"/>
          <w:szCs w:val="20"/>
          <w:lang w:val="en-US" w:eastAsia="zh-CN"/>
        </w:rPr>
        <w:t xml:space="preserve"> in clause 4.8 in TS38.104 would cause misunderstanding and discrepancy in the context.</w:t>
      </w:r>
    </w:p>
    <w:p>
      <w:pPr>
        <w:keepNext/>
        <w:keepLines/>
        <w:pageBreakBefore w:val="0"/>
        <w:widowControl w:val="0"/>
        <w:tabs>
          <w:tab w:val="left" w:pos="2127"/>
        </w:tabs>
        <w:kinsoku/>
        <w:wordWrap/>
        <w:overflowPunct/>
        <w:topLinePunct w:val="0"/>
        <w:autoSpaceDE/>
        <w:autoSpaceDN/>
        <w:bidi w:val="0"/>
        <w:adjustRightInd/>
        <w:snapToGrid w:val="0"/>
        <w:spacing w:before="120" w:beforeLines="0" w:after="120" w:afterLines="0" w:line="240" w:lineRule="auto"/>
        <w:textAlignment w:val="auto"/>
        <w:outlineLvl w:val="1"/>
        <w:rPr>
          <w:rFonts w:hint="eastAsia" w:cs="Times New Roman"/>
          <w:b/>
          <w:bCs/>
          <w:sz w:val="20"/>
          <w:szCs w:val="20"/>
          <w:lang w:val="en-US" w:eastAsia="zh-CN"/>
        </w:rPr>
      </w:pPr>
      <w:r>
        <w:rPr>
          <w:rFonts w:hint="eastAsia" w:cs="Times New Roman"/>
          <w:b/>
          <w:bCs/>
          <w:sz w:val="20"/>
          <w:szCs w:val="20"/>
          <w:lang w:val="en-US" w:eastAsia="zh-CN"/>
        </w:rPr>
        <w:t>2.3 Clarification on ATG BS CA</w:t>
      </w:r>
    </w:p>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sz w:val="20"/>
          <w:szCs w:val="20"/>
          <w:lang w:val="en-US" w:eastAsia="zh-CN"/>
        </w:rPr>
        <w:t>Since CA_n3A-n39A is the only band combination for ATG BS CA in release 19, and it belongs to FDD-TDD band combination, to solve the misunderstanding and discrepancy in the specification, we propose to revisit the previous agreements.</w:t>
      </w:r>
    </w:p>
    <w:p>
      <w:pPr>
        <w:keepNext/>
        <w:keepLines/>
        <w:pageBreakBefore w:val="0"/>
        <w:kinsoku/>
        <w:wordWrap/>
        <w:topLinePunct w:val="0"/>
        <w:bidi w:val="0"/>
        <w:spacing w:before="120" w:beforeLines="0" w:after="120" w:afterLines="0"/>
        <w:rPr>
          <w:rFonts w:hint="default"/>
          <w:sz w:val="20"/>
          <w:szCs w:val="20"/>
          <w:lang w:val="en-US" w:eastAsia="zh-CN"/>
        </w:rPr>
      </w:pPr>
      <w:r>
        <w:rPr>
          <w:rFonts w:hint="eastAsia" w:cs="Times New Roman"/>
          <w:b/>
          <w:bCs/>
          <w:i/>
          <w:iCs/>
          <w:sz w:val="20"/>
          <w:szCs w:val="20"/>
          <w:lang w:val="en-US" w:eastAsia="zh-CN"/>
        </w:rPr>
        <w:t xml:space="preserve">Proposal 1. Multi-band operation requirements are not applied for ATG BS supporting </w:t>
      </w:r>
      <w:r>
        <w:rPr>
          <w:rFonts w:hint="eastAsia" w:cs="Times New Roman"/>
          <w:b/>
          <w:bCs/>
          <w:i/>
          <w:iCs/>
          <w:sz w:val="20"/>
          <w:szCs w:val="20"/>
          <w:lang w:val="en-GB" w:eastAsia="zh-CN"/>
        </w:rPr>
        <w:t>CA_n3A-n39A</w:t>
      </w:r>
      <w:r>
        <w:rPr>
          <w:rFonts w:hint="eastAsia" w:cs="Times New Roman"/>
          <w:b/>
          <w:bCs/>
          <w:i/>
          <w:iCs/>
          <w:sz w:val="20"/>
          <w:szCs w:val="20"/>
          <w:lang w:val="en-US" w:eastAsia="zh-CN"/>
        </w:rPr>
        <w:t>.</w:t>
      </w:r>
    </w:p>
    <w:p>
      <w:pPr>
        <w:keepNext/>
        <w:keepLines/>
        <w:pageBreakBefore w:val="0"/>
        <w:kinsoku/>
        <w:wordWrap/>
        <w:topLinePunct w:val="0"/>
        <w:bidi w:val="0"/>
        <w:spacing w:before="120" w:beforeLines="0" w:after="120" w:afterLines="0"/>
        <w:rPr>
          <w:rFonts w:hint="default"/>
          <w:sz w:val="20"/>
          <w:szCs w:val="20"/>
          <w:lang w:val="en-US" w:eastAsia="zh-CN"/>
        </w:rPr>
      </w:pPr>
      <w:r>
        <w:rPr>
          <w:rFonts w:hint="eastAsia"/>
          <w:sz w:val="20"/>
          <w:szCs w:val="20"/>
          <w:lang w:val="en-US" w:eastAsia="zh-CN"/>
        </w:rPr>
        <w:t>But of course, if there are other new TDD-TDD CA band combination introduced for ATG in future release, we think the multi-band operation requirements can be applied, which is also compliant to the current situation of the TS38.104 specification.</w:t>
      </w:r>
    </w:p>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sz w:val="20"/>
          <w:szCs w:val="20"/>
          <w:lang w:val="en-US" w:eastAsia="zh-CN"/>
        </w:rPr>
        <w:t>With the above consideration, it seems there are two options on how to handle the sentence in Rel-19.</w:t>
      </w:r>
    </w:p>
    <w:p>
      <w:pPr>
        <w:keepNext/>
        <w:keepLines/>
        <w:pageBreakBefore w:val="0"/>
        <w:kinsoku/>
        <w:wordWrap/>
        <w:topLinePunct w:val="0"/>
        <w:bidi w:val="0"/>
        <w:spacing w:before="120" w:beforeLines="0" w:after="120" w:afterLines="0"/>
        <w:rPr>
          <w:rFonts w:hint="eastAsia"/>
          <w:sz w:val="20"/>
          <w:szCs w:val="20"/>
          <w:lang w:val="en-US" w:eastAsia="zh-CN"/>
        </w:rPr>
      </w:pPr>
      <w:r>
        <w:rPr>
          <w:rFonts w:hint="eastAsia"/>
          <w:b/>
          <w:bCs/>
          <w:sz w:val="20"/>
          <w:szCs w:val="20"/>
          <w:lang w:val="en-US" w:eastAsia="zh-CN"/>
        </w:rPr>
        <w:t xml:space="preserve">Option 1. </w:t>
      </w:r>
      <w:r>
        <w:rPr>
          <w:rFonts w:hint="eastAsia"/>
          <w:sz w:val="20"/>
          <w:szCs w:val="20"/>
          <w:lang w:val="en-US" w:eastAsia="zh-CN"/>
        </w:rPr>
        <w:t xml:space="preserve">Keep the previous agreement, i.e. removing </w:t>
      </w:r>
      <w:r>
        <w:rPr>
          <w:rFonts w:hint="default"/>
          <w:sz w:val="20"/>
          <w:szCs w:val="20"/>
          <w:lang w:val="en-US" w:eastAsia="zh-CN"/>
        </w:rPr>
        <w:t>‘</w:t>
      </w:r>
      <w:r>
        <w:rPr>
          <w:rFonts w:hint="eastAsia"/>
          <w:sz w:val="20"/>
          <w:szCs w:val="20"/>
          <w:lang w:val="en-US" w:eastAsia="zh-CN"/>
        </w:rPr>
        <w:t>There is no multi-band operation requirement for ATG BS.</w:t>
      </w:r>
      <w:r>
        <w:rPr>
          <w:rFonts w:hint="default"/>
          <w:sz w:val="20"/>
          <w:szCs w:val="20"/>
          <w:lang w:val="en-US" w:eastAsia="zh-CN"/>
        </w:rPr>
        <w:t>’</w:t>
      </w:r>
    </w:p>
    <w:p>
      <w:pPr>
        <w:keepNext/>
        <w:keepLines/>
        <w:pageBreakBefore w:val="0"/>
        <w:kinsoku/>
        <w:wordWrap/>
        <w:topLinePunct w:val="0"/>
        <w:bidi w:val="0"/>
        <w:spacing w:before="120" w:beforeLines="0" w:after="120" w:afterLines="0"/>
        <w:rPr>
          <w:rFonts w:hint="default"/>
          <w:sz w:val="20"/>
          <w:szCs w:val="20"/>
          <w:lang w:val="en-US" w:eastAsia="zh-CN"/>
        </w:rPr>
      </w:pPr>
      <w:r>
        <w:rPr>
          <w:rFonts w:hint="eastAsia"/>
          <w:b/>
          <w:bCs/>
          <w:sz w:val="20"/>
          <w:szCs w:val="20"/>
          <w:lang w:val="en-US" w:eastAsia="zh-CN"/>
        </w:rPr>
        <w:t>Option 2.</w:t>
      </w:r>
      <w:r>
        <w:rPr>
          <w:rFonts w:hint="eastAsia"/>
          <w:sz w:val="20"/>
          <w:szCs w:val="20"/>
          <w:lang w:val="en-US" w:eastAsia="zh-CN"/>
        </w:rPr>
        <w:t xml:space="preserve"> Revisit the previous agreement, i.e. keep </w:t>
      </w:r>
      <w:r>
        <w:rPr>
          <w:rFonts w:hint="default"/>
          <w:sz w:val="20"/>
          <w:szCs w:val="20"/>
          <w:lang w:val="en-US" w:eastAsia="zh-CN"/>
        </w:rPr>
        <w:t>‘</w:t>
      </w:r>
      <w:r>
        <w:rPr>
          <w:rFonts w:hint="eastAsia"/>
          <w:sz w:val="20"/>
          <w:szCs w:val="20"/>
          <w:lang w:val="en-US" w:eastAsia="zh-CN"/>
        </w:rPr>
        <w:t>There is no multi-band operation requirement for ATG BS.</w:t>
      </w:r>
      <w:r>
        <w:rPr>
          <w:rFonts w:hint="default"/>
          <w:sz w:val="20"/>
          <w:szCs w:val="20"/>
          <w:lang w:val="en-US" w:eastAsia="zh-CN"/>
        </w:rPr>
        <w:t>’</w:t>
      </w:r>
    </w:p>
    <w:p>
      <w:pPr>
        <w:keepNext/>
        <w:keepLines/>
        <w:pageBreakBefore w:val="0"/>
        <w:widowControl w:val="0"/>
        <w:tabs>
          <w:tab w:val="left" w:pos="2127"/>
        </w:tabs>
        <w:kinsoku/>
        <w:wordWrap/>
        <w:overflowPunct/>
        <w:topLinePunct w:val="0"/>
        <w:autoSpaceDE/>
        <w:autoSpaceDN/>
        <w:bidi w:val="0"/>
        <w:adjustRightInd/>
        <w:snapToGrid w:val="0"/>
        <w:spacing w:before="120" w:beforeLines="0" w:after="120" w:afterLines="0" w:line="240" w:lineRule="auto"/>
        <w:textAlignment w:val="auto"/>
        <w:rPr>
          <w:rFonts w:hint="default"/>
          <w:sz w:val="20"/>
          <w:szCs w:val="20"/>
          <w:lang w:val="en-US" w:eastAsia="zh-CN"/>
        </w:rPr>
      </w:pPr>
      <w:r>
        <w:rPr>
          <w:rFonts w:hint="eastAsia"/>
          <w:sz w:val="20"/>
          <w:szCs w:val="20"/>
          <w:lang w:val="en-US" w:eastAsia="zh-CN"/>
        </w:rPr>
        <w:t>Option 1 can be seen as a future-proofing solution, which can accommodate the new TDD-TDD and FDD-FDD band combinations introduced in future if any. Nevertheless, we slight prefer option 2 since it is clear in Rel-19 and can avoid unnecessary misunderstanding in current release of specification. Hence, we propose a revised draft CR in [6]</w:t>
      </w:r>
    </w:p>
    <w:p>
      <w:pPr>
        <w:keepNext/>
        <w:keepLines/>
        <w:pageBreakBefore w:val="0"/>
        <w:widowControl w:val="0"/>
        <w:tabs>
          <w:tab w:val="left" w:pos="2127"/>
        </w:tabs>
        <w:kinsoku/>
        <w:wordWrap/>
        <w:overflowPunct/>
        <w:topLinePunct w:val="0"/>
        <w:autoSpaceDE/>
        <w:autoSpaceDN/>
        <w:bidi w:val="0"/>
        <w:adjustRightInd/>
        <w:snapToGrid w:val="0"/>
        <w:spacing w:before="120" w:beforeLines="0" w:after="120" w:afterLines="0" w:line="240" w:lineRule="auto"/>
        <w:textAlignment w:val="auto"/>
        <w:rPr>
          <w:rFonts w:hint="eastAsia"/>
          <w:sz w:val="20"/>
          <w:szCs w:val="20"/>
          <w:lang w:val="en-US" w:eastAsia="zh-CN"/>
        </w:rPr>
      </w:pPr>
      <w:r>
        <w:rPr>
          <w:rFonts w:hint="eastAsia" w:cs="Times New Roman"/>
          <w:b/>
          <w:bCs/>
          <w:i/>
          <w:iCs/>
          <w:sz w:val="20"/>
          <w:szCs w:val="20"/>
          <w:lang w:val="en-US" w:eastAsia="zh-CN"/>
        </w:rPr>
        <w:t xml:space="preserve">Proposal 2. To endorse the revised draft CR [5]. </w:t>
      </w:r>
    </w:p>
    <w:bookmarkEnd w:id="10"/>
    <w:bookmarkEnd w:id="11"/>
    <w:bookmarkEnd w:id="12"/>
    <w:bookmarkEnd w:id="13"/>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cs="Times New Roman"/>
          <w:sz w:val="20"/>
          <w:szCs w:val="20"/>
          <w:lang w:val="en-US" w:eastAsia="zh-CN"/>
        </w:rPr>
        <w:t>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keepNext/>
        <w:keepLines/>
        <w:pageBreakBefore w:val="0"/>
        <w:kinsoku/>
        <w:wordWrap/>
        <w:topLinePunct w:val="0"/>
        <w:bidi w:val="0"/>
        <w:spacing w:before="120" w:beforeLines="0" w:after="120" w:afterLines="0"/>
        <w:rPr>
          <w:rFonts w:hint="default"/>
          <w:sz w:val="20"/>
          <w:szCs w:val="20"/>
          <w:lang w:val="en-US" w:eastAsia="zh-CN"/>
        </w:rPr>
      </w:pPr>
      <w:r>
        <w:rPr>
          <w:rFonts w:hint="eastAsia"/>
          <w:b/>
          <w:bCs/>
          <w:i/>
          <w:iCs/>
          <w:sz w:val="20"/>
          <w:szCs w:val="20"/>
          <w:lang w:val="en-US" w:eastAsia="zh-CN"/>
        </w:rPr>
        <w:t xml:space="preserve">Observation 1: When multi-band operation is introduced in RAN4, it is limited to FDD only scenarios and TDD only scenarios respectively. For TDD only scenarios, operation in the multiple bands must be synchronized. </w:t>
      </w:r>
    </w:p>
    <w:p>
      <w:pPr>
        <w:keepNext/>
        <w:keepLines/>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eastAsia" w:cs="Times New Roman"/>
          <w:sz w:val="20"/>
          <w:szCs w:val="20"/>
          <w:lang w:val="en-US" w:eastAsia="zh-CN"/>
        </w:rPr>
      </w:pPr>
      <w:r>
        <w:rPr>
          <w:rFonts w:hint="eastAsia"/>
          <w:b/>
          <w:bCs/>
          <w:i/>
          <w:iCs/>
          <w:sz w:val="20"/>
          <w:szCs w:val="20"/>
          <w:lang w:val="en-US" w:eastAsia="zh-CN"/>
        </w:rPr>
        <w:t xml:space="preserve">Observation 2: Except the example band combination in the WID, there are no other band combinations proposed by company in Rel-19. </w:t>
      </w:r>
    </w:p>
    <w:p>
      <w:pPr>
        <w:keepNext/>
        <w:keepLines/>
        <w:pageBreakBefore w:val="0"/>
        <w:kinsoku/>
        <w:wordWrap/>
        <w:topLinePunct w:val="0"/>
        <w:bidi w:val="0"/>
        <w:spacing w:before="120" w:beforeLines="0" w:after="120" w:afterLines="0"/>
        <w:rPr>
          <w:rFonts w:hint="default"/>
          <w:b/>
          <w:bCs/>
          <w:i/>
          <w:iCs/>
          <w:sz w:val="20"/>
          <w:szCs w:val="20"/>
          <w:lang w:val="en-US" w:eastAsia="zh-CN"/>
        </w:rPr>
      </w:pPr>
      <w:r>
        <w:rPr>
          <w:rFonts w:hint="eastAsia"/>
          <w:b/>
          <w:bCs/>
          <w:i/>
          <w:iCs/>
          <w:sz w:val="20"/>
          <w:szCs w:val="20"/>
          <w:lang w:val="en-US" w:eastAsia="zh-CN"/>
        </w:rPr>
        <w:t>Observation 3: The requirements for NR BS capable of multi-band operation adopt the similar principle as LTE BS.</w:t>
      </w:r>
    </w:p>
    <w:p>
      <w:pPr>
        <w:keepNext/>
        <w:keepLines/>
        <w:pageBreakBefore w:val="0"/>
        <w:kinsoku/>
        <w:wordWrap/>
        <w:topLinePunct w:val="0"/>
        <w:bidi w:val="0"/>
        <w:spacing w:before="120" w:beforeLines="0" w:after="120" w:afterLines="0"/>
        <w:rPr>
          <w:rFonts w:hint="eastAsia"/>
          <w:b/>
          <w:bCs/>
          <w:i/>
          <w:iCs/>
          <w:sz w:val="20"/>
          <w:szCs w:val="20"/>
          <w:lang w:val="en-US" w:eastAsia="zh-CN"/>
        </w:rPr>
      </w:pPr>
      <w:r>
        <w:rPr>
          <w:rFonts w:hint="eastAsia"/>
          <w:b/>
          <w:bCs/>
          <w:i/>
          <w:iCs/>
          <w:sz w:val="20"/>
          <w:szCs w:val="20"/>
          <w:lang w:val="en-US" w:eastAsia="zh-CN"/>
        </w:rPr>
        <w:t xml:space="preserve">Observation 4: There are no RF requirements and test requirement defined for </w:t>
      </w:r>
      <w:r>
        <w:rPr>
          <w:rFonts w:eastAsia="MS Mincho"/>
          <w:b/>
          <w:bCs/>
          <w:i/>
          <w:iCs/>
          <w:sz w:val="20"/>
          <w:szCs w:val="20"/>
        </w:rPr>
        <w:t xml:space="preserve">multi-band connectors and multi-band RIBs supporting bands </w:t>
      </w:r>
      <w:r>
        <w:rPr>
          <w:rFonts w:eastAsia="MS Mincho"/>
          <w:b/>
          <w:bCs/>
          <w:i/>
          <w:iCs/>
          <w:sz w:val="20"/>
          <w:szCs w:val="20"/>
          <w:highlight w:val="none"/>
        </w:rPr>
        <w:t xml:space="preserve">for both FDD and TDD </w:t>
      </w:r>
      <w:r>
        <w:rPr>
          <w:b/>
          <w:bCs/>
          <w:i/>
          <w:iCs/>
          <w:sz w:val="20"/>
          <w:szCs w:val="20"/>
          <w:highlight w:val="none"/>
        </w:rPr>
        <w:t xml:space="preserve">are not covered </w:t>
      </w:r>
      <w:r>
        <w:rPr>
          <w:rFonts w:hint="eastAsia"/>
          <w:b/>
          <w:bCs/>
          <w:i/>
          <w:iCs/>
          <w:sz w:val="20"/>
          <w:szCs w:val="20"/>
          <w:lang w:val="en-US" w:eastAsia="zh-CN"/>
        </w:rPr>
        <w:t xml:space="preserve">in </w:t>
      </w:r>
      <w:r>
        <w:rPr>
          <w:b/>
          <w:bCs/>
          <w:i/>
          <w:iCs/>
          <w:sz w:val="20"/>
          <w:szCs w:val="20"/>
        </w:rPr>
        <w:t xml:space="preserve">the present release of </w:t>
      </w:r>
      <w:r>
        <w:rPr>
          <w:rFonts w:hint="eastAsia"/>
          <w:b/>
          <w:bCs/>
          <w:i/>
          <w:iCs/>
          <w:sz w:val="20"/>
          <w:szCs w:val="20"/>
          <w:lang w:val="en-US" w:eastAsia="zh-CN"/>
        </w:rPr>
        <w:t xml:space="preserve">TS38.104 and TS38.141-1/2 </w:t>
      </w:r>
      <w:r>
        <w:rPr>
          <w:b/>
          <w:bCs/>
          <w:i/>
          <w:iCs/>
          <w:sz w:val="20"/>
          <w:szCs w:val="20"/>
        </w:rPr>
        <w:t>specification</w:t>
      </w:r>
      <w:r>
        <w:rPr>
          <w:rFonts w:hint="eastAsia"/>
          <w:b/>
          <w:bCs/>
          <w:i/>
          <w:iCs/>
          <w:sz w:val="20"/>
          <w:szCs w:val="20"/>
          <w:lang w:val="en-US" w:eastAsia="zh-CN"/>
        </w:rPr>
        <w:t>. In other words, only the multiple bands with both FDD and FDD bands, or both TDD and TDD bands with</w:t>
      </w:r>
      <w:r>
        <w:rPr>
          <w:b/>
          <w:bCs/>
          <w:i/>
          <w:iCs/>
          <w:sz w:val="20"/>
          <w:szCs w:val="20"/>
        </w:rPr>
        <w:t xml:space="preserve"> no simultaneous</w:t>
      </w:r>
      <w:r>
        <w:rPr>
          <w:rFonts w:hint="eastAsia"/>
          <w:b/>
          <w:bCs/>
          <w:i/>
          <w:iCs/>
          <w:sz w:val="20"/>
          <w:szCs w:val="20"/>
          <w:lang w:val="en-US" w:eastAsia="zh-CN"/>
        </w:rPr>
        <w:t xml:space="preserve"> Rx/Tx can be supported for a multi-band connector/RIBs.</w:t>
      </w:r>
    </w:p>
    <w:p>
      <w:pPr>
        <w:keepNext/>
        <w:keepLines/>
        <w:pageBreakBefore w:val="0"/>
        <w:kinsoku/>
        <w:wordWrap/>
        <w:topLinePunct w:val="0"/>
        <w:bidi w:val="0"/>
        <w:spacing w:before="120" w:beforeLines="0" w:after="120" w:afterLines="0"/>
        <w:rPr>
          <w:rFonts w:hint="default"/>
          <w:b/>
          <w:bCs/>
          <w:i/>
          <w:iCs/>
          <w:sz w:val="20"/>
          <w:szCs w:val="20"/>
          <w:lang w:val="en-US" w:eastAsia="zh-CN"/>
        </w:rPr>
      </w:pPr>
      <w:r>
        <w:rPr>
          <w:rFonts w:hint="eastAsia"/>
          <w:b/>
          <w:bCs/>
          <w:i/>
          <w:iCs/>
          <w:sz w:val="20"/>
          <w:szCs w:val="20"/>
          <w:lang w:val="en-US" w:eastAsia="zh-CN"/>
        </w:rPr>
        <w:t xml:space="preserve">Observation 5: Removing the sentence </w:t>
      </w:r>
      <w:r>
        <w:rPr>
          <w:rFonts w:hint="default"/>
          <w:b/>
          <w:bCs/>
          <w:i/>
          <w:iCs/>
          <w:sz w:val="20"/>
          <w:szCs w:val="20"/>
          <w:lang w:val="en-US" w:eastAsia="zh-CN"/>
        </w:rPr>
        <w:t>‘</w:t>
      </w:r>
      <w:r>
        <w:rPr>
          <w:rFonts w:hint="eastAsia"/>
          <w:b/>
          <w:bCs/>
          <w:i/>
          <w:iCs/>
          <w:sz w:val="20"/>
          <w:szCs w:val="20"/>
          <w:lang w:val="en-US" w:eastAsia="zh-CN"/>
        </w:rPr>
        <w:t>There is no multi-band operation requirement for ATG BS.</w:t>
      </w:r>
      <w:r>
        <w:rPr>
          <w:rFonts w:hint="default"/>
          <w:b/>
          <w:bCs/>
          <w:i/>
          <w:iCs/>
          <w:sz w:val="20"/>
          <w:szCs w:val="20"/>
          <w:lang w:val="en-US" w:eastAsia="zh-CN"/>
        </w:rPr>
        <w:t>’</w:t>
      </w:r>
      <w:r>
        <w:rPr>
          <w:rFonts w:hint="eastAsia"/>
          <w:b/>
          <w:bCs/>
          <w:i/>
          <w:iCs/>
          <w:sz w:val="20"/>
          <w:szCs w:val="20"/>
          <w:lang w:val="en-US" w:eastAsia="zh-CN"/>
        </w:rPr>
        <w:t xml:space="preserve"> in clause 4.8 in TS38.104 would cause misunderstanding and discrepancy in the context.</w:t>
      </w:r>
    </w:p>
    <w:p>
      <w:pPr>
        <w:keepNext/>
        <w:keepLines/>
        <w:pageBreakBefore w:val="0"/>
        <w:kinsoku/>
        <w:wordWrap/>
        <w:topLinePunct w:val="0"/>
        <w:bidi w:val="0"/>
        <w:spacing w:before="120" w:beforeLines="0" w:after="120" w:afterLines="0"/>
        <w:rPr>
          <w:rFonts w:hint="default"/>
          <w:sz w:val="20"/>
          <w:szCs w:val="20"/>
          <w:lang w:val="en-US" w:eastAsia="zh-CN"/>
        </w:rPr>
      </w:pPr>
      <w:r>
        <w:rPr>
          <w:rFonts w:hint="eastAsia" w:cs="Times New Roman"/>
          <w:b/>
          <w:bCs/>
          <w:i/>
          <w:iCs/>
          <w:sz w:val="20"/>
          <w:szCs w:val="20"/>
          <w:lang w:val="en-US" w:eastAsia="zh-CN"/>
        </w:rPr>
        <w:t xml:space="preserve">Proposal 1. Multi-band operation requirements are not applied for ATG BS supporting </w:t>
      </w:r>
      <w:r>
        <w:rPr>
          <w:rFonts w:hint="eastAsia" w:cs="Times New Roman"/>
          <w:b/>
          <w:bCs/>
          <w:i/>
          <w:iCs/>
          <w:sz w:val="20"/>
          <w:szCs w:val="20"/>
          <w:lang w:val="en-GB" w:eastAsia="zh-CN"/>
        </w:rPr>
        <w:t>CA_n3A-n39A</w:t>
      </w:r>
      <w:r>
        <w:rPr>
          <w:rFonts w:hint="eastAsia" w:cs="Times New Roman"/>
          <w:b/>
          <w:bCs/>
          <w:i/>
          <w:iCs/>
          <w:sz w:val="20"/>
          <w:szCs w:val="20"/>
          <w:lang w:val="en-US" w:eastAsia="zh-CN"/>
        </w:rPr>
        <w:t>.</w:t>
      </w:r>
    </w:p>
    <w:p>
      <w:pPr>
        <w:keepNext/>
        <w:keepLines/>
        <w:pageBreakBefore w:val="0"/>
        <w:widowControl w:val="0"/>
        <w:tabs>
          <w:tab w:val="left" w:pos="2127"/>
        </w:tabs>
        <w:kinsoku/>
        <w:wordWrap/>
        <w:overflowPunct/>
        <w:topLinePunct w:val="0"/>
        <w:autoSpaceDE/>
        <w:autoSpaceDN/>
        <w:bidi w:val="0"/>
        <w:adjustRightInd/>
        <w:snapToGrid w:val="0"/>
        <w:spacing w:before="120" w:beforeLines="0" w:after="120" w:afterLines="0" w:line="240" w:lineRule="auto"/>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To endorse the revised draft CR [5]. </w:t>
      </w:r>
    </w:p>
    <w:p>
      <w:pPr>
        <w:keepNext/>
        <w:keepLines/>
        <w:pageBreakBefore w:val="0"/>
        <w:widowControl/>
        <w:pBdr>
          <w:top w:val="single" w:color="auto" w:sz="12" w:space="3"/>
        </w:pBdr>
        <w:kinsoku/>
        <w:wordWrap/>
        <w:overflowPunct/>
        <w:topLinePunct w:val="0"/>
        <w:autoSpaceDE/>
        <w:autoSpaceDN/>
        <w:bidi w:val="0"/>
        <w:spacing w:before="120"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kinsoku/>
        <w:wordWrap/>
        <w:overflowPunct/>
        <w:topLinePunct w:val="0"/>
        <w:autoSpaceDE/>
        <w:autoSpaceDN/>
        <w:bidi w:val="0"/>
        <w:spacing w:before="120" w:beforeLines="0" w:after="120" w:afterLines="0"/>
        <w:textAlignment w:val="auto"/>
        <w:rPr>
          <w:rFonts w:hint="eastAsia"/>
          <w:sz w:val="20"/>
          <w:szCs w:val="20"/>
          <w:lang w:val="en-US" w:eastAsia="zh-CN"/>
        </w:rPr>
      </w:pPr>
      <w:r>
        <w:rPr>
          <w:rFonts w:hint="eastAsia"/>
          <w:sz w:val="20"/>
          <w:szCs w:val="20"/>
          <w:lang w:val="en-US" w:eastAsia="zh-CN"/>
        </w:rPr>
        <w:t>[1] R4-2419796, Way Forward for [113][305] NR_ATG_enh, ZTE Corporation</w:t>
      </w:r>
    </w:p>
    <w:p>
      <w:pPr>
        <w:keepNext/>
        <w:keepLines/>
        <w:pageBreakBefore w:val="0"/>
        <w:widowControl/>
        <w:kinsoku/>
        <w:wordWrap/>
        <w:overflowPunct/>
        <w:topLinePunct w:val="0"/>
        <w:autoSpaceDE/>
        <w:autoSpaceDN/>
        <w:bidi w:val="0"/>
        <w:spacing w:before="120" w:beforeLines="0" w:after="120" w:afterLines="0"/>
        <w:textAlignment w:val="auto"/>
        <w:rPr>
          <w:rFonts w:hint="eastAsia"/>
          <w:lang w:val="en-US" w:eastAsia="zh-CN"/>
        </w:rPr>
      </w:pPr>
      <w:r>
        <w:rPr>
          <w:rFonts w:hint="eastAsia"/>
          <w:sz w:val="20"/>
          <w:szCs w:val="20"/>
          <w:lang w:val="en-US" w:eastAsia="zh-CN"/>
        </w:rPr>
        <w:t xml:space="preserve">[2] R4-2502280, draft CR to TS 38.104: the introduction of Rel-19 ATG BS supporting CA, </w:t>
      </w: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 CMCC, CATT, Huawei, Ericsson.</w:t>
      </w:r>
    </w:p>
    <w:p>
      <w:pPr>
        <w:keepNext/>
        <w:keepLines/>
        <w:pageBreakBefore w:val="0"/>
        <w:widowControl/>
        <w:kinsoku/>
        <w:wordWrap/>
        <w:overflowPunct/>
        <w:topLinePunct w:val="0"/>
        <w:autoSpaceDE/>
        <w:autoSpaceDN/>
        <w:bidi w:val="0"/>
        <w:spacing w:before="120" w:beforeLines="0" w:after="120" w:afterLines="0"/>
        <w:textAlignment w:val="auto"/>
        <w:rPr>
          <w:sz w:val="20"/>
          <w:lang w:val="en-US" w:eastAsia="en-US"/>
        </w:rPr>
      </w:pPr>
      <w:r>
        <w:rPr>
          <w:rFonts w:hint="eastAsia"/>
          <w:sz w:val="20"/>
          <w:lang w:val="en-US" w:eastAsia="zh-CN"/>
        </w:rPr>
        <w:t xml:space="preserve">[3] </w:t>
      </w:r>
      <w:r>
        <w:rPr>
          <w:sz w:val="20"/>
          <w:lang w:val="en-US" w:eastAsia="en-US"/>
        </w:rPr>
        <w:t>TR 37.812 Multi-band and Multi-standard radio (MB-MSR) Base Station (BS)</w:t>
      </w:r>
    </w:p>
    <w:p>
      <w:pPr>
        <w:keepNext/>
        <w:keepLines/>
        <w:pageBreakBefore w:val="0"/>
        <w:widowControl/>
        <w:kinsoku/>
        <w:wordWrap/>
        <w:overflowPunct/>
        <w:topLinePunct w:val="0"/>
        <w:autoSpaceDE/>
        <w:autoSpaceDN/>
        <w:bidi w:val="0"/>
        <w:spacing w:before="120" w:beforeLines="0" w:after="120" w:afterLines="0"/>
        <w:textAlignment w:val="auto"/>
        <w:rPr>
          <w:rFonts w:hint="eastAsia"/>
          <w:lang w:val="en-US" w:eastAsia="zh-CN"/>
        </w:rPr>
      </w:pPr>
      <w:r>
        <w:rPr>
          <w:rFonts w:hint="eastAsia"/>
          <w:lang w:val="en-US" w:eastAsia="zh-CN"/>
        </w:rPr>
        <w:t>[4] R4-142486, Way forward on Multi-band BS for TDD-FDD joint operation including Carrier Aggregation,NTT DOCOMO, NSN, Ericsson.</w:t>
      </w:r>
    </w:p>
    <w:p>
      <w:pPr>
        <w:keepNext/>
        <w:keepLines/>
        <w:pageBreakBefore w:val="0"/>
        <w:widowControl/>
        <w:kinsoku/>
        <w:wordWrap/>
        <w:overflowPunct/>
        <w:topLinePunct w:val="0"/>
        <w:autoSpaceDE/>
        <w:autoSpaceDN/>
        <w:bidi w:val="0"/>
        <w:spacing w:before="120" w:beforeLines="0" w:after="120" w:afterLines="0"/>
        <w:textAlignment w:val="auto"/>
        <w:rPr>
          <w:rFonts w:hint="eastAsia"/>
          <w:lang w:val="en-US" w:eastAsia="zh-CN"/>
        </w:rPr>
      </w:pPr>
      <w:r>
        <w:rPr>
          <w:rFonts w:hint="eastAsia"/>
          <w:sz w:val="20"/>
          <w:szCs w:val="20"/>
          <w:lang w:val="en-US" w:eastAsia="zh-CN"/>
        </w:rPr>
        <w:t xml:space="preserve">[5] R4-25xxxx, draft CR to TS 38.104: the introduction of Rel-19 ATG BS supporting CA, </w:t>
      </w: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p>
      <w:pPr>
        <w:keepNext/>
        <w:keepLines/>
        <w:pageBreakBefore w:val="0"/>
        <w:widowControl/>
        <w:kinsoku/>
        <w:wordWrap/>
        <w:overflowPunct/>
        <w:topLinePunct w:val="0"/>
        <w:autoSpaceDE/>
        <w:autoSpaceDN/>
        <w:bidi w:val="0"/>
        <w:spacing w:before="120" w:beforeLines="0" w:after="120" w:afterLines="0"/>
        <w:textAlignment w:val="auto"/>
        <w:rPr>
          <w:rFonts w:hint="default"/>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0000000000000000000"/>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0E64C56"/>
    <w:multiLevelType w:val="singleLevel"/>
    <w:tmpl w:val="00E64C56"/>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6"/>
  </w:num>
  <w:num w:numId="5">
    <w:abstractNumId w:val="1"/>
  </w:num>
  <w:num w:numId="6">
    <w:abstractNumId w:val="0"/>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06B1"/>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A4D34"/>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06C97"/>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1492"/>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567E0"/>
    <w:rsid w:val="0117001C"/>
    <w:rsid w:val="011952D6"/>
    <w:rsid w:val="011A0B49"/>
    <w:rsid w:val="0129526D"/>
    <w:rsid w:val="014A0623"/>
    <w:rsid w:val="014C6B63"/>
    <w:rsid w:val="01536583"/>
    <w:rsid w:val="0170606B"/>
    <w:rsid w:val="01764F01"/>
    <w:rsid w:val="01795BD9"/>
    <w:rsid w:val="018107C9"/>
    <w:rsid w:val="01815F85"/>
    <w:rsid w:val="01837FEF"/>
    <w:rsid w:val="01854FE9"/>
    <w:rsid w:val="018E207B"/>
    <w:rsid w:val="0190283E"/>
    <w:rsid w:val="019B32C6"/>
    <w:rsid w:val="019C2DEC"/>
    <w:rsid w:val="019D155B"/>
    <w:rsid w:val="01A428BB"/>
    <w:rsid w:val="01AE307F"/>
    <w:rsid w:val="01B35169"/>
    <w:rsid w:val="01BB2C67"/>
    <w:rsid w:val="01BF0B5D"/>
    <w:rsid w:val="01C00B7B"/>
    <w:rsid w:val="01D11357"/>
    <w:rsid w:val="01D46B8D"/>
    <w:rsid w:val="01D80157"/>
    <w:rsid w:val="01D866D8"/>
    <w:rsid w:val="01EE2663"/>
    <w:rsid w:val="01F31C8D"/>
    <w:rsid w:val="01F90434"/>
    <w:rsid w:val="01FB366B"/>
    <w:rsid w:val="01FD3930"/>
    <w:rsid w:val="021B7C87"/>
    <w:rsid w:val="0221260B"/>
    <w:rsid w:val="022D4A6E"/>
    <w:rsid w:val="022F2E54"/>
    <w:rsid w:val="023B0A39"/>
    <w:rsid w:val="023C78A7"/>
    <w:rsid w:val="02444B7E"/>
    <w:rsid w:val="024A5964"/>
    <w:rsid w:val="024B023C"/>
    <w:rsid w:val="024D6B6A"/>
    <w:rsid w:val="024F6C8C"/>
    <w:rsid w:val="02504E6F"/>
    <w:rsid w:val="02510B5E"/>
    <w:rsid w:val="02566C17"/>
    <w:rsid w:val="025A362C"/>
    <w:rsid w:val="02655431"/>
    <w:rsid w:val="02692E98"/>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D4B85"/>
    <w:rsid w:val="02AE6812"/>
    <w:rsid w:val="02AF3C72"/>
    <w:rsid w:val="02B22D9F"/>
    <w:rsid w:val="02C8305A"/>
    <w:rsid w:val="02D16C80"/>
    <w:rsid w:val="02D75CAB"/>
    <w:rsid w:val="02DC3F9C"/>
    <w:rsid w:val="02E14F55"/>
    <w:rsid w:val="02F900F0"/>
    <w:rsid w:val="02FA22E2"/>
    <w:rsid w:val="03032BFE"/>
    <w:rsid w:val="03047DDD"/>
    <w:rsid w:val="03073BDC"/>
    <w:rsid w:val="03086405"/>
    <w:rsid w:val="030B0647"/>
    <w:rsid w:val="030B2860"/>
    <w:rsid w:val="030C40C1"/>
    <w:rsid w:val="030D2F0B"/>
    <w:rsid w:val="030F3B4D"/>
    <w:rsid w:val="031814BE"/>
    <w:rsid w:val="03350E4E"/>
    <w:rsid w:val="033C68CE"/>
    <w:rsid w:val="03445E8F"/>
    <w:rsid w:val="03496C64"/>
    <w:rsid w:val="035154D3"/>
    <w:rsid w:val="03527C38"/>
    <w:rsid w:val="03557185"/>
    <w:rsid w:val="0356746F"/>
    <w:rsid w:val="03620451"/>
    <w:rsid w:val="03642E26"/>
    <w:rsid w:val="036E37C2"/>
    <w:rsid w:val="03746F87"/>
    <w:rsid w:val="03780D14"/>
    <w:rsid w:val="037828CA"/>
    <w:rsid w:val="03814F5B"/>
    <w:rsid w:val="038B3141"/>
    <w:rsid w:val="03970C22"/>
    <w:rsid w:val="03984B67"/>
    <w:rsid w:val="03A63789"/>
    <w:rsid w:val="03A77DFA"/>
    <w:rsid w:val="03AA5C06"/>
    <w:rsid w:val="03AC1F4B"/>
    <w:rsid w:val="03B339B1"/>
    <w:rsid w:val="03B65F25"/>
    <w:rsid w:val="03C05350"/>
    <w:rsid w:val="03C1287B"/>
    <w:rsid w:val="03C12A05"/>
    <w:rsid w:val="03C36B0E"/>
    <w:rsid w:val="03C528EA"/>
    <w:rsid w:val="03C53E20"/>
    <w:rsid w:val="03C551CE"/>
    <w:rsid w:val="03CF67FA"/>
    <w:rsid w:val="03D7133F"/>
    <w:rsid w:val="03DF1641"/>
    <w:rsid w:val="03E358F3"/>
    <w:rsid w:val="03E641C4"/>
    <w:rsid w:val="03E84DE8"/>
    <w:rsid w:val="03F5320E"/>
    <w:rsid w:val="03FE480F"/>
    <w:rsid w:val="04006F66"/>
    <w:rsid w:val="04030035"/>
    <w:rsid w:val="040F0942"/>
    <w:rsid w:val="04251A4C"/>
    <w:rsid w:val="042D2E97"/>
    <w:rsid w:val="04305EA0"/>
    <w:rsid w:val="04310833"/>
    <w:rsid w:val="04343921"/>
    <w:rsid w:val="043865BF"/>
    <w:rsid w:val="043A14AD"/>
    <w:rsid w:val="04412D13"/>
    <w:rsid w:val="04477A12"/>
    <w:rsid w:val="044C78D8"/>
    <w:rsid w:val="04537B11"/>
    <w:rsid w:val="04684A28"/>
    <w:rsid w:val="046C0EAE"/>
    <w:rsid w:val="04782230"/>
    <w:rsid w:val="0479507E"/>
    <w:rsid w:val="04894975"/>
    <w:rsid w:val="04964902"/>
    <w:rsid w:val="049973F4"/>
    <w:rsid w:val="04A65723"/>
    <w:rsid w:val="04AB3262"/>
    <w:rsid w:val="04AC0BD2"/>
    <w:rsid w:val="04B14B03"/>
    <w:rsid w:val="04B15E44"/>
    <w:rsid w:val="04C509AD"/>
    <w:rsid w:val="04CC51EB"/>
    <w:rsid w:val="04D76DDC"/>
    <w:rsid w:val="04DA1A87"/>
    <w:rsid w:val="04DD0A04"/>
    <w:rsid w:val="04DE2DA3"/>
    <w:rsid w:val="04EB6DF8"/>
    <w:rsid w:val="04FE0DF4"/>
    <w:rsid w:val="04FF1C94"/>
    <w:rsid w:val="04FF7D5A"/>
    <w:rsid w:val="0502349F"/>
    <w:rsid w:val="05061BBF"/>
    <w:rsid w:val="05094980"/>
    <w:rsid w:val="050E7487"/>
    <w:rsid w:val="05161D2D"/>
    <w:rsid w:val="0522500E"/>
    <w:rsid w:val="052E568F"/>
    <w:rsid w:val="0537511C"/>
    <w:rsid w:val="053973F0"/>
    <w:rsid w:val="053E65E7"/>
    <w:rsid w:val="05437A57"/>
    <w:rsid w:val="054E2A6F"/>
    <w:rsid w:val="0555228E"/>
    <w:rsid w:val="056501EA"/>
    <w:rsid w:val="056948D7"/>
    <w:rsid w:val="056D1155"/>
    <w:rsid w:val="056F7FAB"/>
    <w:rsid w:val="057030A6"/>
    <w:rsid w:val="05741F0E"/>
    <w:rsid w:val="05784831"/>
    <w:rsid w:val="057D1D66"/>
    <w:rsid w:val="0584418A"/>
    <w:rsid w:val="058E7B70"/>
    <w:rsid w:val="059576B4"/>
    <w:rsid w:val="059D265F"/>
    <w:rsid w:val="05B74214"/>
    <w:rsid w:val="05B92EC1"/>
    <w:rsid w:val="05C251E4"/>
    <w:rsid w:val="05C26893"/>
    <w:rsid w:val="05C868B7"/>
    <w:rsid w:val="05E078B3"/>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5D2980"/>
    <w:rsid w:val="06637BD9"/>
    <w:rsid w:val="06674CE7"/>
    <w:rsid w:val="066935ED"/>
    <w:rsid w:val="066F06B5"/>
    <w:rsid w:val="06743FEC"/>
    <w:rsid w:val="06782F84"/>
    <w:rsid w:val="067C28D6"/>
    <w:rsid w:val="067E40B7"/>
    <w:rsid w:val="0681696E"/>
    <w:rsid w:val="06851866"/>
    <w:rsid w:val="068E06BC"/>
    <w:rsid w:val="06907E56"/>
    <w:rsid w:val="069201CB"/>
    <w:rsid w:val="06956E2E"/>
    <w:rsid w:val="06971860"/>
    <w:rsid w:val="069F445A"/>
    <w:rsid w:val="06B741D9"/>
    <w:rsid w:val="06C457B6"/>
    <w:rsid w:val="06CB3A1D"/>
    <w:rsid w:val="06CD4A70"/>
    <w:rsid w:val="06DF4C13"/>
    <w:rsid w:val="06E34232"/>
    <w:rsid w:val="06E7678C"/>
    <w:rsid w:val="06ED5C56"/>
    <w:rsid w:val="06F13CA3"/>
    <w:rsid w:val="06F14C51"/>
    <w:rsid w:val="06F42A88"/>
    <w:rsid w:val="06F801C0"/>
    <w:rsid w:val="06FC1E92"/>
    <w:rsid w:val="070322D8"/>
    <w:rsid w:val="070E5EE2"/>
    <w:rsid w:val="07105178"/>
    <w:rsid w:val="0712124C"/>
    <w:rsid w:val="071426A5"/>
    <w:rsid w:val="071614A3"/>
    <w:rsid w:val="071A1AB9"/>
    <w:rsid w:val="071C13A8"/>
    <w:rsid w:val="072C1843"/>
    <w:rsid w:val="07330445"/>
    <w:rsid w:val="073D143C"/>
    <w:rsid w:val="073E1A3D"/>
    <w:rsid w:val="0745615D"/>
    <w:rsid w:val="0747308D"/>
    <w:rsid w:val="074855FD"/>
    <w:rsid w:val="07627CA0"/>
    <w:rsid w:val="076319C4"/>
    <w:rsid w:val="076925D2"/>
    <w:rsid w:val="077241E3"/>
    <w:rsid w:val="07731BAD"/>
    <w:rsid w:val="07787303"/>
    <w:rsid w:val="078C5933"/>
    <w:rsid w:val="078D336C"/>
    <w:rsid w:val="0792420A"/>
    <w:rsid w:val="07971B3F"/>
    <w:rsid w:val="07983294"/>
    <w:rsid w:val="079F1838"/>
    <w:rsid w:val="07A2030D"/>
    <w:rsid w:val="07A5677E"/>
    <w:rsid w:val="07A73F6E"/>
    <w:rsid w:val="07AE63FF"/>
    <w:rsid w:val="07B51934"/>
    <w:rsid w:val="07B9290D"/>
    <w:rsid w:val="07BE52B9"/>
    <w:rsid w:val="07BF7CC6"/>
    <w:rsid w:val="07C55A1A"/>
    <w:rsid w:val="07CD6CAA"/>
    <w:rsid w:val="07CE3349"/>
    <w:rsid w:val="07D26643"/>
    <w:rsid w:val="07D57946"/>
    <w:rsid w:val="07E2277C"/>
    <w:rsid w:val="07E6675C"/>
    <w:rsid w:val="07ED524D"/>
    <w:rsid w:val="07EF3E3F"/>
    <w:rsid w:val="07FC1127"/>
    <w:rsid w:val="07FD7D85"/>
    <w:rsid w:val="080124E3"/>
    <w:rsid w:val="080B341D"/>
    <w:rsid w:val="080C7FA0"/>
    <w:rsid w:val="08120068"/>
    <w:rsid w:val="08162951"/>
    <w:rsid w:val="08193C24"/>
    <w:rsid w:val="082D6315"/>
    <w:rsid w:val="082E1A08"/>
    <w:rsid w:val="082E1CC1"/>
    <w:rsid w:val="08341060"/>
    <w:rsid w:val="083D71D5"/>
    <w:rsid w:val="085514F1"/>
    <w:rsid w:val="08571D21"/>
    <w:rsid w:val="085A292F"/>
    <w:rsid w:val="085A5F4A"/>
    <w:rsid w:val="08675174"/>
    <w:rsid w:val="08732D34"/>
    <w:rsid w:val="0875131E"/>
    <w:rsid w:val="08787FF0"/>
    <w:rsid w:val="08824DF0"/>
    <w:rsid w:val="0889002B"/>
    <w:rsid w:val="089B79D9"/>
    <w:rsid w:val="08A44DA6"/>
    <w:rsid w:val="08AA245A"/>
    <w:rsid w:val="08BA6E24"/>
    <w:rsid w:val="08C024D5"/>
    <w:rsid w:val="08C562FD"/>
    <w:rsid w:val="08CA27B1"/>
    <w:rsid w:val="08D21754"/>
    <w:rsid w:val="08D25907"/>
    <w:rsid w:val="08DB4458"/>
    <w:rsid w:val="08E916DF"/>
    <w:rsid w:val="08EA1A1B"/>
    <w:rsid w:val="08F3022B"/>
    <w:rsid w:val="08F473EA"/>
    <w:rsid w:val="08F815F3"/>
    <w:rsid w:val="08F96E54"/>
    <w:rsid w:val="08FC0AA5"/>
    <w:rsid w:val="0904171A"/>
    <w:rsid w:val="090868CF"/>
    <w:rsid w:val="090B34E3"/>
    <w:rsid w:val="09167EC9"/>
    <w:rsid w:val="091C4700"/>
    <w:rsid w:val="092803BD"/>
    <w:rsid w:val="09294EE0"/>
    <w:rsid w:val="09306537"/>
    <w:rsid w:val="09355076"/>
    <w:rsid w:val="09392119"/>
    <w:rsid w:val="093D6798"/>
    <w:rsid w:val="093E6BA4"/>
    <w:rsid w:val="09445E95"/>
    <w:rsid w:val="09543B3B"/>
    <w:rsid w:val="09600FBD"/>
    <w:rsid w:val="0972595C"/>
    <w:rsid w:val="097734F1"/>
    <w:rsid w:val="097960C6"/>
    <w:rsid w:val="097D5DA0"/>
    <w:rsid w:val="098143BC"/>
    <w:rsid w:val="098500F1"/>
    <w:rsid w:val="099B44BE"/>
    <w:rsid w:val="099E4326"/>
    <w:rsid w:val="09B7610E"/>
    <w:rsid w:val="09BD407A"/>
    <w:rsid w:val="09CD7D07"/>
    <w:rsid w:val="09DA0E26"/>
    <w:rsid w:val="09E55691"/>
    <w:rsid w:val="09EA29E1"/>
    <w:rsid w:val="09EB2B51"/>
    <w:rsid w:val="09EF75D1"/>
    <w:rsid w:val="09F31544"/>
    <w:rsid w:val="09F43460"/>
    <w:rsid w:val="09F67CD5"/>
    <w:rsid w:val="0A054821"/>
    <w:rsid w:val="0A0835C8"/>
    <w:rsid w:val="0A145721"/>
    <w:rsid w:val="0A25764B"/>
    <w:rsid w:val="0A2C297E"/>
    <w:rsid w:val="0A307C92"/>
    <w:rsid w:val="0A355EAA"/>
    <w:rsid w:val="0A3708FF"/>
    <w:rsid w:val="0A3B01F9"/>
    <w:rsid w:val="0A3F0488"/>
    <w:rsid w:val="0A402A36"/>
    <w:rsid w:val="0A4236A3"/>
    <w:rsid w:val="0A49096C"/>
    <w:rsid w:val="0A4E7EF5"/>
    <w:rsid w:val="0A646846"/>
    <w:rsid w:val="0A76304F"/>
    <w:rsid w:val="0A7C2514"/>
    <w:rsid w:val="0A80214B"/>
    <w:rsid w:val="0A8251CA"/>
    <w:rsid w:val="0A8828AB"/>
    <w:rsid w:val="0A895661"/>
    <w:rsid w:val="0A927DC1"/>
    <w:rsid w:val="0A9358E8"/>
    <w:rsid w:val="0A952FEA"/>
    <w:rsid w:val="0A9919F0"/>
    <w:rsid w:val="0A9B4F7F"/>
    <w:rsid w:val="0A9C09DD"/>
    <w:rsid w:val="0A9C263A"/>
    <w:rsid w:val="0A9E3D3D"/>
    <w:rsid w:val="0AA077E0"/>
    <w:rsid w:val="0AA16D79"/>
    <w:rsid w:val="0AA84209"/>
    <w:rsid w:val="0ABF3E2E"/>
    <w:rsid w:val="0AC01F88"/>
    <w:rsid w:val="0AC0212C"/>
    <w:rsid w:val="0AC029AC"/>
    <w:rsid w:val="0AC55D37"/>
    <w:rsid w:val="0AC81C45"/>
    <w:rsid w:val="0AD542C1"/>
    <w:rsid w:val="0ADD5A20"/>
    <w:rsid w:val="0ADF65DA"/>
    <w:rsid w:val="0AE05E8C"/>
    <w:rsid w:val="0AE10FD9"/>
    <w:rsid w:val="0AF13898"/>
    <w:rsid w:val="0AFB1BDE"/>
    <w:rsid w:val="0AFB3228"/>
    <w:rsid w:val="0AFC6C07"/>
    <w:rsid w:val="0B0250FD"/>
    <w:rsid w:val="0B044DE7"/>
    <w:rsid w:val="0B0F025C"/>
    <w:rsid w:val="0B1A6333"/>
    <w:rsid w:val="0B2713F4"/>
    <w:rsid w:val="0B2E7CE5"/>
    <w:rsid w:val="0B3D701F"/>
    <w:rsid w:val="0B3E7DD7"/>
    <w:rsid w:val="0B434D07"/>
    <w:rsid w:val="0B481192"/>
    <w:rsid w:val="0B494066"/>
    <w:rsid w:val="0B4D4BB3"/>
    <w:rsid w:val="0B4F7F8D"/>
    <w:rsid w:val="0B561995"/>
    <w:rsid w:val="0B5C2C2A"/>
    <w:rsid w:val="0B61734A"/>
    <w:rsid w:val="0B665E0A"/>
    <w:rsid w:val="0B6D431B"/>
    <w:rsid w:val="0B796FFB"/>
    <w:rsid w:val="0B847B39"/>
    <w:rsid w:val="0B902D5E"/>
    <w:rsid w:val="0B987E20"/>
    <w:rsid w:val="0B9B4146"/>
    <w:rsid w:val="0B9C06D5"/>
    <w:rsid w:val="0B9E71DF"/>
    <w:rsid w:val="0BAC6FB9"/>
    <w:rsid w:val="0BAD5CC5"/>
    <w:rsid w:val="0BAD5EDC"/>
    <w:rsid w:val="0BAF59B9"/>
    <w:rsid w:val="0BB524B8"/>
    <w:rsid w:val="0BB756DF"/>
    <w:rsid w:val="0BBA47EE"/>
    <w:rsid w:val="0BBB6EA8"/>
    <w:rsid w:val="0BC27DC3"/>
    <w:rsid w:val="0BC633C5"/>
    <w:rsid w:val="0BC63DB2"/>
    <w:rsid w:val="0BCA3CD2"/>
    <w:rsid w:val="0BCB1EC4"/>
    <w:rsid w:val="0BCC4043"/>
    <w:rsid w:val="0BCC4B6A"/>
    <w:rsid w:val="0BD23AC3"/>
    <w:rsid w:val="0BDE3FD8"/>
    <w:rsid w:val="0C064507"/>
    <w:rsid w:val="0C1E494F"/>
    <w:rsid w:val="0C223501"/>
    <w:rsid w:val="0C3427D0"/>
    <w:rsid w:val="0C43327D"/>
    <w:rsid w:val="0C4426AF"/>
    <w:rsid w:val="0C4577EC"/>
    <w:rsid w:val="0C4F7881"/>
    <w:rsid w:val="0C5C6396"/>
    <w:rsid w:val="0C63431B"/>
    <w:rsid w:val="0C650A20"/>
    <w:rsid w:val="0C690EFA"/>
    <w:rsid w:val="0C6E11B8"/>
    <w:rsid w:val="0C723CD1"/>
    <w:rsid w:val="0C7A1B03"/>
    <w:rsid w:val="0C7C40BF"/>
    <w:rsid w:val="0C8005ED"/>
    <w:rsid w:val="0C814739"/>
    <w:rsid w:val="0C8601BF"/>
    <w:rsid w:val="0C863429"/>
    <w:rsid w:val="0C863AC0"/>
    <w:rsid w:val="0C8B63A3"/>
    <w:rsid w:val="0C9F6AEC"/>
    <w:rsid w:val="0CB819EA"/>
    <w:rsid w:val="0CB94808"/>
    <w:rsid w:val="0CC11AEF"/>
    <w:rsid w:val="0CC37BC2"/>
    <w:rsid w:val="0CCB7A8E"/>
    <w:rsid w:val="0CD87ABE"/>
    <w:rsid w:val="0CD90733"/>
    <w:rsid w:val="0CE26C42"/>
    <w:rsid w:val="0CE632FF"/>
    <w:rsid w:val="0CE76B48"/>
    <w:rsid w:val="0CEB5DBE"/>
    <w:rsid w:val="0CF6484A"/>
    <w:rsid w:val="0CFB523A"/>
    <w:rsid w:val="0CFC15F0"/>
    <w:rsid w:val="0D0227BA"/>
    <w:rsid w:val="0D042083"/>
    <w:rsid w:val="0D1B1E9C"/>
    <w:rsid w:val="0D2716E6"/>
    <w:rsid w:val="0D3226D5"/>
    <w:rsid w:val="0D4B44A1"/>
    <w:rsid w:val="0D4E4635"/>
    <w:rsid w:val="0D6468BA"/>
    <w:rsid w:val="0D6811B4"/>
    <w:rsid w:val="0D6E2620"/>
    <w:rsid w:val="0D704E21"/>
    <w:rsid w:val="0D7A2BC8"/>
    <w:rsid w:val="0D7F48FE"/>
    <w:rsid w:val="0D883C88"/>
    <w:rsid w:val="0D936E72"/>
    <w:rsid w:val="0D966BF7"/>
    <w:rsid w:val="0D9B5860"/>
    <w:rsid w:val="0DAA3F6B"/>
    <w:rsid w:val="0DB84E5F"/>
    <w:rsid w:val="0DB94E10"/>
    <w:rsid w:val="0DC44067"/>
    <w:rsid w:val="0DCC3AE8"/>
    <w:rsid w:val="0DD87842"/>
    <w:rsid w:val="0DE35C55"/>
    <w:rsid w:val="0DE45DFB"/>
    <w:rsid w:val="0DF202E1"/>
    <w:rsid w:val="0DF513F2"/>
    <w:rsid w:val="0DF53CE3"/>
    <w:rsid w:val="0DFE5246"/>
    <w:rsid w:val="0E0961C5"/>
    <w:rsid w:val="0E147898"/>
    <w:rsid w:val="0E183199"/>
    <w:rsid w:val="0E2A7688"/>
    <w:rsid w:val="0E2F216B"/>
    <w:rsid w:val="0E3352C6"/>
    <w:rsid w:val="0E3A5EE2"/>
    <w:rsid w:val="0E4213E1"/>
    <w:rsid w:val="0E486751"/>
    <w:rsid w:val="0E542F3B"/>
    <w:rsid w:val="0E6271C6"/>
    <w:rsid w:val="0E6271DF"/>
    <w:rsid w:val="0E655A78"/>
    <w:rsid w:val="0E681731"/>
    <w:rsid w:val="0E6C5EC6"/>
    <w:rsid w:val="0E7071B5"/>
    <w:rsid w:val="0E8015C3"/>
    <w:rsid w:val="0E81568A"/>
    <w:rsid w:val="0E924723"/>
    <w:rsid w:val="0E942250"/>
    <w:rsid w:val="0E963344"/>
    <w:rsid w:val="0E9E6E00"/>
    <w:rsid w:val="0EA40C1C"/>
    <w:rsid w:val="0EB72E4B"/>
    <w:rsid w:val="0EB91987"/>
    <w:rsid w:val="0EC9550B"/>
    <w:rsid w:val="0ED07B90"/>
    <w:rsid w:val="0ED76EC8"/>
    <w:rsid w:val="0EDA2BCA"/>
    <w:rsid w:val="0EDC55F1"/>
    <w:rsid w:val="0EEC6F1D"/>
    <w:rsid w:val="0EF00D65"/>
    <w:rsid w:val="0EF33893"/>
    <w:rsid w:val="0EFB6721"/>
    <w:rsid w:val="0EFF5127"/>
    <w:rsid w:val="0F054463"/>
    <w:rsid w:val="0F103291"/>
    <w:rsid w:val="0F1A7A94"/>
    <w:rsid w:val="0F1D498B"/>
    <w:rsid w:val="0F2B1CF0"/>
    <w:rsid w:val="0F337178"/>
    <w:rsid w:val="0F3B15FC"/>
    <w:rsid w:val="0F41022A"/>
    <w:rsid w:val="0F44420A"/>
    <w:rsid w:val="0F4B77A5"/>
    <w:rsid w:val="0F4F1A2F"/>
    <w:rsid w:val="0F56743B"/>
    <w:rsid w:val="0F5D0D44"/>
    <w:rsid w:val="0F60682C"/>
    <w:rsid w:val="0F6763D9"/>
    <w:rsid w:val="0F68733A"/>
    <w:rsid w:val="0F6A2766"/>
    <w:rsid w:val="0F715B2B"/>
    <w:rsid w:val="0F764270"/>
    <w:rsid w:val="0F773D64"/>
    <w:rsid w:val="0F7756E1"/>
    <w:rsid w:val="0F790C96"/>
    <w:rsid w:val="0F7F273F"/>
    <w:rsid w:val="0F8418ED"/>
    <w:rsid w:val="0F957B47"/>
    <w:rsid w:val="0F98796C"/>
    <w:rsid w:val="0F9F6FA4"/>
    <w:rsid w:val="0FA65D5C"/>
    <w:rsid w:val="0FA83295"/>
    <w:rsid w:val="0FAD33DA"/>
    <w:rsid w:val="0FBE2A42"/>
    <w:rsid w:val="0FBF1587"/>
    <w:rsid w:val="0FC11FA8"/>
    <w:rsid w:val="0FC17CCE"/>
    <w:rsid w:val="0FC424B9"/>
    <w:rsid w:val="0FD70565"/>
    <w:rsid w:val="0FDD1E5E"/>
    <w:rsid w:val="0FDF162E"/>
    <w:rsid w:val="0FE1571A"/>
    <w:rsid w:val="0FEA050A"/>
    <w:rsid w:val="0FEC680C"/>
    <w:rsid w:val="0FEE2832"/>
    <w:rsid w:val="0FF83B33"/>
    <w:rsid w:val="10007AD6"/>
    <w:rsid w:val="10016174"/>
    <w:rsid w:val="100D3E09"/>
    <w:rsid w:val="101A12E7"/>
    <w:rsid w:val="101B1E8A"/>
    <w:rsid w:val="101C4A03"/>
    <w:rsid w:val="101D0C86"/>
    <w:rsid w:val="10325332"/>
    <w:rsid w:val="10386626"/>
    <w:rsid w:val="103B2931"/>
    <w:rsid w:val="104A023B"/>
    <w:rsid w:val="10505F3B"/>
    <w:rsid w:val="105F56AF"/>
    <w:rsid w:val="106D2686"/>
    <w:rsid w:val="107538B9"/>
    <w:rsid w:val="107641C0"/>
    <w:rsid w:val="107A2416"/>
    <w:rsid w:val="107C3E2C"/>
    <w:rsid w:val="107D41AE"/>
    <w:rsid w:val="10887960"/>
    <w:rsid w:val="108C2479"/>
    <w:rsid w:val="109B62DE"/>
    <w:rsid w:val="109E4593"/>
    <w:rsid w:val="10AA1B06"/>
    <w:rsid w:val="10C715C5"/>
    <w:rsid w:val="10CC72E4"/>
    <w:rsid w:val="10D335EF"/>
    <w:rsid w:val="10DA6BCD"/>
    <w:rsid w:val="10E3138D"/>
    <w:rsid w:val="10E746EA"/>
    <w:rsid w:val="10E83FE0"/>
    <w:rsid w:val="10EC3168"/>
    <w:rsid w:val="10EC5C55"/>
    <w:rsid w:val="10F24E5D"/>
    <w:rsid w:val="10F52718"/>
    <w:rsid w:val="11173599"/>
    <w:rsid w:val="112E2D86"/>
    <w:rsid w:val="11301133"/>
    <w:rsid w:val="113457E2"/>
    <w:rsid w:val="11366DAC"/>
    <w:rsid w:val="11376E36"/>
    <w:rsid w:val="114028DC"/>
    <w:rsid w:val="116F1EB0"/>
    <w:rsid w:val="117B1D6A"/>
    <w:rsid w:val="117C2D9D"/>
    <w:rsid w:val="117F159E"/>
    <w:rsid w:val="11821DC9"/>
    <w:rsid w:val="11847AFA"/>
    <w:rsid w:val="118A7FFF"/>
    <w:rsid w:val="118B3803"/>
    <w:rsid w:val="11921373"/>
    <w:rsid w:val="11945405"/>
    <w:rsid w:val="119D7849"/>
    <w:rsid w:val="11A615EE"/>
    <w:rsid w:val="11A658F4"/>
    <w:rsid w:val="11B83B24"/>
    <w:rsid w:val="11B90BA4"/>
    <w:rsid w:val="11B91A57"/>
    <w:rsid w:val="11C427F5"/>
    <w:rsid w:val="11C67B8F"/>
    <w:rsid w:val="11CA11D0"/>
    <w:rsid w:val="11CE730E"/>
    <w:rsid w:val="11CF206F"/>
    <w:rsid w:val="11D658B4"/>
    <w:rsid w:val="11D75BF2"/>
    <w:rsid w:val="11D815C4"/>
    <w:rsid w:val="11D910AD"/>
    <w:rsid w:val="11E55FA1"/>
    <w:rsid w:val="11E57D4F"/>
    <w:rsid w:val="11ED5EAE"/>
    <w:rsid w:val="11EE6703"/>
    <w:rsid w:val="11F62C9D"/>
    <w:rsid w:val="11F67383"/>
    <w:rsid w:val="11F92DAB"/>
    <w:rsid w:val="11FC38D5"/>
    <w:rsid w:val="11FE0013"/>
    <w:rsid w:val="1210682D"/>
    <w:rsid w:val="12162A85"/>
    <w:rsid w:val="121A40C0"/>
    <w:rsid w:val="121E2AC6"/>
    <w:rsid w:val="12276782"/>
    <w:rsid w:val="123332A6"/>
    <w:rsid w:val="12384D02"/>
    <w:rsid w:val="123A05DB"/>
    <w:rsid w:val="124240B9"/>
    <w:rsid w:val="124D0988"/>
    <w:rsid w:val="124D0CC1"/>
    <w:rsid w:val="125606A2"/>
    <w:rsid w:val="12666B56"/>
    <w:rsid w:val="12680E73"/>
    <w:rsid w:val="126D2629"/>
    <w:rsid w:val="12703104"/>
    <w:rsid w:val="12706434"/>
    <w:rsid w:val="12763466"/>
    <w:rsid w:val="127E5AA6"/>
    <w:rsid w:val="12802B6B"/>
    <w:rsid w:val="128B2749"/>
    <w:rsid w:val="129019B5"/>
    <w:rsid w:val="129168E1"/>
    <w:rsid w:val="12945F88"/>
    <w:rsid w:val="129811DB"/>
    <w:rsid w:val="129937EE"/>
    <w:rsid w:val="1299543B"/>
    <w:rsid w:val="129C6692"/>
    <w:rsid w:val="129E6282"/>
    <w:rsid w:val="12A13750"/>
    <w:rsid w:val="12AB7A32"/>
    <w:rsid w:val="12AC64CF"/>
    <w:rsid w:val="12BB6535"/>
    <w:rsid w:val="12C05977"/>
    <w:rsid w:val="12C231FF"/>
    <w:rsid w:val="12C30189"/>
    <w:rsid w:val="12C7312B"/>
    <w:rsid w:val="12D22971"/>
    <w:rsid w:val="12D85654"/>
    <w:rsid w:val="12DF4A87"/>
    <w:rsid w:val="12EE5106"/>
    <w:rsid w:val="12EE67A1"/>
    <w:rsid w:val="12F25706"/>
    <w:rsid w:val="12F842DF"/>
    <w:rsid w:val="13012EB4"/>
    <w:rsid w:val="1307341C"/>
    <w:rsid w:val="130C40FE"/>
    <w:rsid w:val="130E3629"/>
    <w:rsid w:val="131B39DD"/>
    <w:rsid w:val="131E2669"/>
    <w:rsid w:val="13216E71"/>
    <w:rsid w:val="13283BA4"/>
    <w:rsid w:val="13332F77"/>
    <w:rsid w:val="13334E1C"/>
    <w:rsid w:val="13346EE4"/>
    <w:rsid w:val="13384952"/>
    <w:rsid w:val="13384BA9"/>
    <w:rsid w:val="13424DBA"/>
    <w:rsid w:val="134F31A5"/>
    <w:rsid w:val="1355107F"/>
    <w:rsid w:val="135805BB"/>
    <w:rsid w:val="135D4D2E"/>
    <w:rsid w:val="135F4CF0"/>
    <w:rsid w:val="1366638D"/>
    <w:rsid w:val="136D76E8"/>
    <w:rsid w:val="137266E0"/>
    <w:rsid w:val="137F164B"/>
    <w:rsid w:val="13853516"/>
    <w:rsid w:val="139D3156"/>
    <w:rsid w:val="13A9004F"/>
    <w:rsid w:val="13A938D2"/>
    <w:rsid w:val="13AA5FA1"/>
    <w:rsid w:val="13AF2BDE"/>
    <w:rsid w:val="13B41C63"/>
    <w:rsid w:val="13BB0DD4"/>
    <w:rsid w:val="13C06A03"/>
    <w:rsid w:val="13C20262"/>
    <w:rsid w:val="13CE7C74"/>
    <w:rsid w:val="13CE7FED"/>
    <w:rsid w:val="13D024B3"/>
    <w:rsid w:val="13D115EF"/>
    <w:rsid w:val="13D40AF3"/>
    <w:rsid w:val="13D86A45"/>
    <w:rsid w:val="13D92D9C"/>
    <w:rsid w:val="13DD445E"/>
    <w:rsid w:val="13DE7C83"/>
    <w:rsid w:val="13F0242F"/>
    <w:rsid w:val="13F7751B"/>
    <w:rsid w:val="13FD073F"/>
    <w:rsid w:val="140171D9"/>
    <w:rsid w:val="1405674E"/>
    <w:rsid w:val="140815BB"/>
    <w:rsid w:val="14087FC1"/>
    <w:rsid w:val="14095006"/>
    <w:rsid w:val="14174089"/>
    <w:rsid w:val="141C71BE"/>
    <w:rsid w:val="141E583B"/>
    <w:rsid w:val="14200F48"/>
    <w:rsid w:val="1424615D"/>
    <w:rsid w:val="1426671F"/>
    <w:rsid w:val="142C143A"/>
    <w:rsid w:val="142E1345"/>
    <w:rsid w:val="14345A34"/>
    <w:rsid w:val="143533EF"/>
    <w:rsid w:val="14367BDC"/>
    <w:rsid w:val="143F5FC4"/>
    <w:rsid w:val="145103FA"/>
    <w:rsid w:val="145F07C7"/>
    <w:rsid w:val="146B69A8"/>
    <w:rsid w:val="146C5189"/>
    <w:rsid w:val="146F1089"/>
    <w:rsid w:val="1475649E"/>
    <w:rsid w:val="1476752B"/>
    <w:rsid w:val="14816B50"/>
    <w:rsid w:val="148313F4"/>
    <w:rsid w:val="14912D9C"/>
    <w:rsid w:val="14934F1A"/>
    <w:rsid w:val="149559C4"/>
    <w:rsid w:val="149E117F"/>
    <w:rsid w:val="149F24BA"/>
    <w:rsid w:val="14A7066B"/>
    <w:rsid w:val="14AB0B21"/>
    <w:rsid w:val="14AC0C32"/>
    <w:rsid w:val="14AD3324"/>
    <w:rsid w:val="14B02E00"/>
    <w:rsid w:val="14C45576"/>
    <w:rsid w:val="14C76D6C"/>
    <w:rsid w:val="14CB0971"/>
    <w:rsid w:val="14CB7E6E"/>
    <w:rsid w:val="14CE33C4"/>
    <w:rsid w:val="14DA3DA1"/>
    <w:rsid w:val="14DF7455"/>
    <w:rsid w:val="14E31554"/>
    <w:rsid w:val="14E60B42"/>
    <w:rsid w:val="14EA1C4D"/>
    <w:rsid w:val="15006FD3"/>
    <w:rsid w:val="150222BF"/>
    <w:rsid w:val="15075355"/>
    <w:rsid w:val="150F7C33"/>
    <w:rsid w:val="15106414"/>
    <w:rsid w:val="1515004B"/>
    <w:rsid w:val="151B7C99"/>
    <w:rsid w:val="15207BBA"/>
    <w:rsid w:val="152F4E1B"/>
    <w:rsid w:val="153817CF"/>
    <w:rsid w:val="15425F26"/>
    <w:rsid w:val="15436E45"/>
    <w:rsid w:val="154D342A"/>
    <w:rsid w:val="1559587F"/>
    <w:rsid w:val="155D577C"/>
    <w:rsid w:val="15655DA6"/>
    <w:rsid w:val="1574662E"/>
    <w:rsid w:val="15751882"/>
    <w:rsid w:val="1575191B"/>
    <w:rsid w:val="157818C6"/>
    <w:rsid w:val="158D195D"/>
    <w:rsid w:val="159F73BB"/>
    <w:rsid w:val="15B03F28"/>
    <w:rsid w:val="15BD66BF"/>
    <w:rsid w:val="15BE2FC0"/>
    <w:rsid w:val="15C526A4"/>
    <w:rsid w:val="15C95B15"/>
    <w:rsid w:val="15DC75CF"/>
    <w:rsid w:val="15E30A80"/>
    <w:rsid w:val="15E310C1"/>
    <w:rsid w:val="15E5344B"/>
    <w:rsid w:val="15FB16C4"/>
    <w:rsid w:val="1608480E"/>
    <w:rsid w:val="161C1C58"/>
    <w:rsid w:val="1622315D"/>
    <w:rsid w:val="1626155A"/>
    <w:rsid w:val="16282C4E"/>
    <w:rsid w:val="1629434E"/>
    <w:rsid w:val="162E1BBF"/>
    <w:rsid w:val="162F7556"/>
    <w:rsid w:val="16413A3A"/>
    <w:rsid w:val="1644500C"/>
    <w:rsid w:val="16461A95"/>
    <w:rsid w:val="164A5F5C"/>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36D6"/>
    <w:rsid w:val="16AD733F"/>
    <w:rsid w:val="16AE2FE3"/>
    <w:rsid w:val="16B23908"/>
    <w:rsid w:val="16B4400E"/>
    <w:rsid w:val="16B540F1"/>
    <w:rsid w:val="16C71372"/>
    <w:rsid w:val="16C739DF"/>
    <w:rsid w:val="16C86CDB"/>
    <w:rsid w:val="16D20141"/>
    <w:rsid w:val="16DD3B26"/>
    <w:rsid w:val="16EB6E00"/>
    <w:rsid w:val="16EE7649"/>
    <w:rsid w:val="16F04615"/>
    <w:rsid w:val="16F24A30"/>
    <w:rsid w:val="16F55F75"/>
    <w:rsid w:val="16FD2447"/>
    <w:rsid w:val="17081A43"/>
    <w:rsid w:val="170B631B"/>
    <w:rsid w:val="1712339A"/>
    <w:rsid w:val="171B1C8E"/>
    <w:rsid w:val="171E63FC"/>
    <w:rsid w:val="172244D9"/>
    <w:rsid w:val="1722504D"/>
    <w:rsid w:val="172C2525"/>
    <w:rsid w:val="173302A7"/>
    <w:rsid w:val="1738730F"/>
    <w:rsid w:val="1740231C"/>
    <w:rsid w:val="17407E9C"/>
    <w:rsid w:val="17416499"/>
    <w:rsid w:val="17481B81"/>
    <w:rsid w:val="17481E8B"/>
    <w:rsid w:val="174A69B0"/>
    <w:rsid w:val="1750027D"/>
    <w:rsid w:val="175007ED"/>
    <w:rsid w:val="17527092"/>
    <w:rsid w:val="176433A6"/>
    <w:rsid w:val="17667C8E"/>
    <w:rsid w:val="176B45C6"/>
    <w:rsid w:val="176C447F"/>
    <w:rsid w:val="17830A97"/>
    <w:rsid w:val="17846B5C"/>
    <w:rsid w:val="17850F99"/>
    <w:rsid w:val="17875303"/>
    <w:rsid w:val="178815C4"/>
    <w:rsid w:val="1793626E"/>
    <w:rsid w:val="17991452"/>
    <w:rsid w:val="17A875F5"/>
    <w:rsid w:val="17AB40A1"/>
    <w:rsid w:val="17AC60A9"/>
    <w:rsid w:val="17B5256D"/>
    <w:rsid w:val="17B86D8B"/>
    <w:rsid w:val="17B92501"/>
    <w:rsid w:val="17CD2623"/>
    <w:rsid w:val="17D651ED"/>
    <w:rsid w:val="17D75B62"/>
    <w:rsid w:val="17E65848"/>
    <w:rsid w:val="17E66DD8"/>
    <w:rsid w:val="17E84839"/>
    <w:rsid w:val="17ED035B"/>
    <w:rsid w:val="17EE1403"/>
    <w:rsid w:val="17F25234"/>
    <w:rsid w:val="17FD061B"/>
    <w:rsid w:val="17FF6314"/>
    <w:rsid w:val="1800350F"/>
    <w:rsid w:val="18005F41"/>
    <w:rsid w:val="18025414"/>
    <w:rsid w:val="180E3727"/>
    <w:rsid w:val="18171305"/>
    <w:rsid w:val="182543BD"/>
    <w:rsid w:val="18301B92"/>
    <w:rsid w:val="18334194"/>
    <w:rsid w:val="18336434"/>
    <w:rsid w:val="183E1D37"/>
    <w:rsid w:val="18482A17"/>
    <w:rsid w:val="184D0787"/>
    <w:rsid w:val="184F4D08"/>
    <w:rsid w:val="185D1883"/>
    <w:rsid w:val="185E3AA1"/>
    <w:rsid w:val="18742BD5"/>
    <w:rsid w:val="18812331"/>
    <w:rsid w:val="18816F1C"/>
    <w:rsid w:val="18853F3E"/>
    <w:rsid w:val="18956393"/>
    <w:rsid w:val="18A07470"/>
    <w:rsid w:val="18A8582C"/>
    <w:rsid w:val="18AB3604"/>
    <w:rsid w:val="18B15BA9"/>
    <w:rsid w:val="18B50543"/>
    <w:rsid w:val="18C515FC"/>
    <w:rsid w:val="18CA40C3"/>
    <w:rsid w:val="18CC73BC"/>
    <w:rsid w:val="18CD7A02"/>
    <w:rsid w:val="18E21EFF"/>
    <w:rsid w:val="18F32AFF"/>
    <w:rsid w:val="18F37652"/>
    <w:rsid w:val="19001FFC"/>
    <w:rsid w:val="190E2B4A"/>
    <w:rsid w:val="19151C58"/>
    <w:rsid w:val="1917174A"/>
    <w:rsid w:val="19206E47"/>
    <w:rsid w:val="19256D7A"/>
    <w:rsid w:val="19292CD4"/>
    <w:rsid w:val="192C403E"/>
    <w:rsid w:val="193275C2"/>
    <w:rsid w:val="19454C70"/>
    <w:rsid w:val="194D2005"/>
    <w:rsid w:val="194D3980"/>
    <w:rsid w:val="194D646A"/>
    <w:rsid w:val="195B59A7"/>
    <w:rsid w:val="196229FF"/>
    <w:rsid w:val="19655A52"/>
    <w:rsid w:val="19663168"/>
    <w:rsid w:val="196D1144"/>
    <w:rsid w:val="197724BD"/>
    <w:rsid w:val="19786B0A"/>
    <w:rsid w:val="198A41A1"/>
    <w:rsid w:val="198D013B"/>
    <w:rsid w:val="199203C6"/>
    <w:rsid w:val="199A2059"/>
    <w:rsid w:val="199B4699"/>
    <w:rsid w:val="19A40543"/>
    <w:rsid w:val="19A91329"/>
    <w:rsid w:val="19B46E10"/>
    <w:rsid w:val="19C456C1"/>
    <w:rsid w:val="19C47D20"/>
    <w:rsid w:val="19C96BAE"/>
    <w:rsid w:val="19DB6A7E"/>
    <w:rsid w:val="19DF018D"/>
    <w:rsid w:val="19E65498"/>
    <w:rsid w:val="19F061A1"/>
    <w:rsid w:val="19F3324D"/>
    <w:rsid w:val="1A054259"/>
    <w:rsid w:val="1A081816"/>
    <w:rsid w:val="1A0C5680"/>
    <w:rsid w:val="1A152CBC"/>
    <w:rsid w:val="1A153EDB"/>
    <w:rsid w:val="1A165171"/>
    <w:rsid w:val="1A2F1830"/>
    <w:rsid w:val="1A3A26A6"/>
    <w:rsid w:val="1A454F4F"/>
    <w:rsid w:val="1A4858FF"/>
    <w:rsid w:val="1A4C698A"/>
    <w:rsid w:val="1A586874"/>
    <w:rsid w:val="1A5870C2"/>
    <w:rsid w:val="1A5D5219"/>
    <w:rsid w:val="1A5E4B5A"/>
    <w:rsid w:val="1A605995"/>
    <w:rsid w:val="1A672B1C"/>
    <w:rsid w:val="1A735226"/>
    <w:rsid w:val="1A8301C0"/>
    <w:rsid w:val="1A852016"/>
    <w:rsid w:val="1A872248"/>
    <w:rsid w:val="1A923A68"/>
    <w:rsid w:val="1A9B2279"/>
    <w:rsid w:val="1A9D2D45"/>
    <w:rsid w:val="1A9E6232"/>
    <w:rsid w:val="1AA57BA7"/>
    <w:rsid w:val="1AA74D3D"/>
    <w:rsid w:val="1AB34DB4"/>
    <w:rsid w:val="1AB613FD"/>
    <w:rsid w:val="1AB91DEF"/>
    <w:rsid w:val="1AC1475F"/>
    <w:rsid w:val="1ACA774F"/>
    <w:rsid w:val="1ACF5EB8"/>
    <w:rsid w:val="1AD26086"/>
    <w:rsid w:val="1AD827ED"/>
    <w:rsid w:val="1ADA65A5"/>
    <w:rsid w:val="1ADC75C9"/>
    <w:rsid w:val="1ADD5ACE"/>
    <w:rsid w:val="1ADD7AC1"/>
    <w:rsid w:val="1AE013F8"/>
    <w:rsid w:val="1AE449BB"/>
    <w:rsid w:val="1AE8570C"/>
    <w:rsid w:val="1AF14946"/>
    <w:rsid w:val="1AFB06A3"/>
    <w:rsid w:val="1AFD2B54"/>
    <w:rsid w:val="1B0F19AE"/>
    <w:rsid w:val="1B2160BB"/>
    <w:rsid w:val="1B3137EE"/>
    <w:rsid w:val="1B3637AD"/>
    <w:rsid w:val="1B3E0DB5"/>
    <w:rsid w:val="1B435D31"/>
    <w:rsid w:val="1B454C94"/>
    <w:rsid w:val="1B496377"/>
    <w:rsid w:val="1B506283"/>
    <w:rsid w:val="1B6515DA"/>
    <w:rsid w:val="1B6C0DF0"/>
    <w:rsid w:val="1B7034E2"/>
    <w:rsid w:val="1B757CBC"/>
    <w:rsid w:val="1B797F1F"/>
    <w:rsid w:val="1B7F6005"/>
    <w:rsid w:val="1B862C77"/>
    <w:rsid w:val="1B8B54B4"/>
    <w:rsid w:val="1B94236B"/>
    <w:rsid w:val="1B9A1502"/>
    <w:rsid w:val="1B9A4A8D"/>
    <w:rsid w:val="1B9C269A"/>
    <w:rsid w:val="1B9E64C5"/>
    <w:rsid w:val="1B9E6D4C"/>
    <w:rsid w:val="1BA252C1"/>
    <w:rsid w:val="1BAF07EF"/>
    <w:rsid w:val="1BBD43BA"/>
    <w:rsid w:val="1BC01115"/>
    <w:rsid w:val="1BC44015"/>
    <w:rsid w:val="1BCA6284"/>
    <w:rsid w:val="1BDE5096"/>
    <w:rsid w:val="1BE475CF"/>
    <w:rsid w:val="1BE94688"/>
    <w:rsid w:val="1BEA3348"/>
    <w:rsid w:val="1BFE5FF9"/>
    <w:rsid w:val="1C013494"/>
    <w:rsid w:val="1C053414"/>
    <w:rsid w:val="1C132CB9"/>
    <w:rsid w:val="1C1642A1"/>
    <w:rsid w:val="1C207A38"/>
    <w:rsid w:val="1C273D33"/>
    <w:rsid w:val="1C274D98"/>
    <w:rsid w:val="1C395CFF"/>
    <w:rsid w:val="1C3C4DD9"/>
    <w:rsid w:val="1C4032AB"/>
    <w:rsid w:val="1C4672ED"/>
    <w:rsid w:val="1C467AB6"/>
    <w:rsid w:val="1C6277A9"/>
    <w:rsid w:val="1C687AA0"/>
    <w:rsid w:val="1C7B213D"/>
    <w:rsid w:val="1C7F54CE"/>
    <w:rsid w:val="1C7F743F"/>
    <w:rsid w:val="1C8774F1"/>
    <w:rsid w:val="1C886AFE"/>
    <w:rsid w:val="1C8C4AA9"/>
    <w:rsid w:val="1C8C604B"/>
    <w:rsid w:val="1C8E25A0"/>
    <w:rsid w:val="1C92160B"/>
    <w:rsid w:val="1C973EEF"/>
    <w:rsid w:val="1C9E044B"/>
    <w:rsid w:val="1CA03243"/>
    <w:rsid w:val="1CA15CD3"/>
    <w:rsid w:val="1CAF5DB2"/>
    <w:rsid w:val="1CB00002"/>
    <w:rsid w:val="1CB40DF1"/>
    <w:rsid w:val="1CC27801"/>
    <w:rsid w:val="1CC73770"/>
    <w:rsid w:val="1CCC26CA"/>
    <w:rsid w:val="1CCF6CAF"/>
    <w:rsid w:val="1CD2156B"/>
    <w:rsid w:val="1CD41743"/>
    <w:rsid w:val="1CD44D3D"/>
    <w:rsid w:val="1CD51DA1"/>
    <w:rsid w:val="1CE45EF5"/>
    <w:rsid w:val="1CE615C9"/>
    <w:rsid w:val="1D037029"/>
    <w:rsid w:val="1D051DAC"/>
    <w:rsid w:val="1D1316E8"/>
    <w:rsid w:val="1D1D7103"/>
    <w:rsid w:val="1D2B0BB4"/>
    <w:rsid w:val="1D3305FF"/>
    <w:rsid w:val="1D335FC4"/>
    <w:rsid w:val="1D355362"/>
    <w:rsid w:val="1D395282"/>
    <w:rsid w:val="1D4251BA"/>
    <w:rsid w:val="1D465448"/>
    <w:rsid w:val="1D551881"/>
    <w:rsid w:val="1D5959E7"/>
    <w:rsid w:val="1D5F5386"/>
    <w:rsid w:val="1D7072CE"/>
    <w:rsid w:val="1D794A16"/>
    <w:rsid w:val="1D795467"/>
    <w:rsid w:val="1D966154"/>
    <w:rsid w:val="1D9E30A9"/>
    <w:rsid w:val="1DA142D7"/>
    <w:rsid w:val="1DA33B45"/>
    <w:rsid w:val="1DA54EF3"/>
    <w:rsid w:val="1DAB1006"/>
    <w:rsid w:val="1DB33C11"/>
    <w:rsid w:val="1DB34347"/>
    <w:rsid w:val="1DC12FD6"/>
    <w:rsid w:val="1DC65562"/>
    <w:rsid w:val="1DCE33C5"/>
    <w:rsid w:val="1DD13720"/>
    <w:rsid w:val="1DD40512"/>
    <w:rsid w:val="1DD555D5"/>
    <w:rsid w:val="1DE85A76"/>
    <w:rsid w:val="1DE94164"/>
    <w:rsid w:val="1DEE1B11"/>
    <w:rsid w:val="1DF51CE6"/>
    <w:rsid w:val="1E0112F9"/>
    <w:rsid w:val="1E0B0833"/>
    <w:rsid w:val="1E146425"/>
    <w:rsid w:val="1E164B52"/>
    <w:rsid w:val="1E234B9F"/>
    <w:rsid w:val="1E273844"/>
    <w:rsid w:val="1E2C328E"/>
    <w:rsid w:val="1E2F243E"/>
    <w:rsid w:val="1E377E23"/>
    <w:rsid w:val="1E3B4F6B"/>
    <w:rsid w:val="1E3D5039"/>
    <w:rsid w:val="1E417896"/>
    <w:rsid w:val="1E455D19"/>
    <w:rsid w:val="1E595CAF"/>
    <w:rsid w:val="1E5B733A"/>
    <w:rsid w:val="1E5C31E8"/>
    <w:rsid w:val="1E64416A"/>
    <w:rsid w:val="1E6607F9"/>
    <w:rsid w:val="1E691070"/>
    <w:rsid w:val="1E7E6BFD"/>
    <w:rsid w:val="1E805396"/>
    <w:rsid w:val="1E884F62"/>
    <w:rsid w:val="1E961A62"/>
    <w:rsid w:val="1E9D6342"/>
    <w:rsid w:val="1E9D6D15"/>
    <w:rsid w:val="1EA77730"/>
    <w:rsid w:val="1EAF5D76"/>
    <w:rsid w:val="1EBD1EAD"/>
    <w:rsid w:val="1EC214C3"/>
    <w:rsid w:val="1EC36E9D"/>
    <w:rsid w:val="1ECA4D4D"/>
    <w:rsid w:val="1ECD6B66"/>
    <w:rsid w:val="1ED701E3"/>
    <w:rsid w:val="1ED744A9"/>
    <w:rsid w:val="1EE25FDD"/>
    <w:rsid w:val="1EF5103F"/>
    <w:rsid w:val="1EF856C6"/>
    <w:rsid w:val="1EFF621F"/>
    <w:rsid w:val="1F090F9B"/>
    <w:rsid w:val="1F0E2B48"/>
    <w:rsid w:val="1F0E5D6B"/>
    <w:rsid w:val="1F1921D7"/>
    <w:rsid w:val="1F335242"/>
    <w:rsid w:val="1F3E605E"/>
    <w:rsid w:val="1F3E662A"/>
    <w:rsid w:val="1F417C0A"/>
    <w:rsid w:val="1F482412"/>
    <w:rsid w:val="1F4F2219"/>
    <w:rsid w:val="1F5D2184"/>
    <w:rsid w:val="1F614D01"/>
    <w:rsid w:val="1F721405"/>
    <w:rsid w:val="1F8A2738"/>
    <w:rsid w:val="1F935819"/>
    <w:rsid w:val="1F9F1A13"/>
    <w:rsid w:val="1FA076DC"/>
    <w:rsid w:val="1FA6556D"/>
    <w:rsid w:val="1FAF2571"/>
    <w:rsid w:val="1FB7507F"/>
    <w:rsid w:val="1FC07E48"/>
    <w:rsid w:val="1FC47ECF"/>
    <w:rsid w:val="1FC55EDA"/>
    <w:rsid w:val="1FC66FF1"/>
    <w:rsid w:val="1FCE593C"/>
    <w:rsid w:val="1FD175A8"/>
    <w:rsid w:val="1FD81D98"/>
    <w:rsid w:val="1FE312AC"/>
    <w:rsid w:val="1FE34925"/>
    <w:rsid w:val="1FEC5915"/>
    <w:rsid w:val="1FED32EF"/>
    <w:rsid w:val="200631EC"/>
    <w:rsid w:val="201743BA"/>
    <w:rsid w:val="201E47E7"/>
    <w:rsid w:val="201E6D7C"/>
    <w:rsid w:val="20280BF3"/>
    <w:rsid w:val="202E2AB2"/>
    <w:rsid w:val="20355E85"/>
    <w:rsid w:val="20392DEC"/>
    <w:rsid w:val="203D340C"/>
    <w:rsid w:val="203D7ACF"/>
    <w:rsid w:val="203F0A07"/>
    <w:rsid w:val="20446081"/>
    <w:rsid w:val="204852AD"/>
    <w:rsid w:val="204E6676"/>
    <w:rsid w:val="205A5AA0"/>
    <w:rsid w:val="20677607"/>
    <w:rsid w:val="20685BC4"/>
    <w:rsid w:val="20773A28"/>
    <w:rsid w:val="20776154"/>
    <w:rsid w:val="207D4F02"/>
    <w:rsid w:val="208574F4"/>
    <w:rsid w:val="20892D9A"/>
    <w:rsid w:val="208C4449"/>
    <w:rsid w:val="208F6BAF"/>
    <w:rsid w:val="20966D8D"/>
    <w:rsid w:val="20A462BA"/>
    <w:rsid w:val="20BF2AAC"/>
    <w:rsid w:val="20BF42D2"/>
    <w:rsid w:val="20C245BE"/>
    <w:rsid w:val="20C6317E"/>
    <w:rsid w:val="20C849C7"/>
    <w:rsid w:val="20C96A07"/>
    <w:rsid w:val="20CB3B33"/>
    <w:rsid w:val="20D51E1A"/>
    <w:rsid w:val="20DB75CF"/>
    <w:rsid w:val="20DF66D2"/>
    <w:rsid w:val="20EC3F2E"/>
    <w:rsid w:val="20EC7C3E"/>
    <w:rsid w:val="20F16108"/>
    <w:rsid w:val="210548E9"/>
    <w:rsid w:val="21124D15"/>
    <w:rsid w:val="212A5BF7"/>
    <w:rsid w:val="213533EC"/>
    <w:rsid w:val="213C7197"/>
    <w:rsid w:val="213E7119"/>
    <w:rsid w:val="214369E8"/>
    <w:rsid w:val="214D1729"/>
    <w:rsid w:val="21530058"/>
    <w:rsid w:val="216A2141"/>
    <w:rsid w:val="21774C7C"/>
    <w:rsid w:val="21810744"/>
    <w:rsid w:val="218D6EF5"/>
    <w:rsid w:val="2195668B"/>
    <w:rsid w:val="219E3719"/>
    <w:rsid w:val="219F5DD6"/>
    <w:rsid w:val="219F69EC"/>
    <w:rsid w:val="21A130EA"/>
    <w:rsid w:val="21BF60EB"/>
    <w:rsid w:val="21C11E60"/>
    <w:rsid w:val="21C267BF"/>
    <w:rsid w:val="21CC442B"/>
    <w:rsid w:val="21CD6BCD"/>
    <w:rsid w:val="21CE6067"/>
    <w:rsid w:val="21CF035F"/>
    <w:rsid w:val="21CF439A"/>
    <w:rsid w:val="21EF1B3D"/>
    <w:rsid w:val="21F00127"/>
    <w:rsid w:val="21F839AC"/>
    <w:rsid w:val="221D2FA3"/>
    <w:rsid w:val="2226635F"/>
    <w:rsid w:val="222A579A"/>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105D1"/>
    <w:rsid w:val="227E1569"/>
    <w:rsid w:val="227E206D"/>
    <w:rsid w:val="227E5224"/>
    <w:rsid w:val="228274AE"/>
    <w:rsid w:val="228A4698"/>
    <w:rsid w:val="228C58AA"/>
    <w:rsid w:val="229257DC"/>
    <w:rsid w:val="22925971"/>
    <w:rsid w:val="22945167"/>
    <w:rsid w:val="22A00AC0"/>
    <w:rsid w:val="22A55CD5"/>
    <w:rsid w:val="22A72B65"/>
    <w:rsid w:val="22AF2EE1"/>
    <w:rsid w:val="22C74EE2"/>
    <w:rsid w:val="22CB6237"/>
    <w:rsid w:val="22CD14B5"/>
    <w:rsid w:val="22CE62A8"/>
    <w:rsid w:val="22D9694E"/>
    <w:rsid w:val="22E02C6E"/>
    <w:rsid w:val="22E04FF4"/>
    <w:rsid w:val="22E105B9"/>
    <w:rsid w:val="22E1121B"/>
    <w:rsid w:val="22EA4C70"/>
    <w:rsid w:val="22F75251"/>
    <w:rsid w:val="22F86F75"/>
    <w:rsid w:val="22FB4D32"/>
    <w:rsid w:val="23060BC9"/>
    <w:rsid w:val="23131055"/>
    <w:rsid w:val="233C6F76"/>
    <w:rsid w:val="233C72F1"/>
    <w:rsid w:val="234130C7"/>
    <w:rsid w:val="234449F5"/>
    <w:rsid w:val="23460DA0"/>
    <w:rsid w:val="23536618"/>
    <w:rsid w:val="236D3C72"/>
    <w:rsid w:val="236F277C"/>
    <w:rsid w:val="237216BA"/>
    <w:rsid w:val="237E4AC9"/>
    <w:rsid w:val="23816932"/>
    <w:rsid w:val="23886A2D"/>
    <w:rsid w:val="238E2016"/>
    <w:rsid w:val="238F70F2"/>
    <w:rsid w:val="239C062C"/>
    <w:rsid w:val="23A9484E"/>
    <w:rsid w:val="23B32F98"/>
    <w:rsid w:val="23B36F54"/>
    <w:rsid w:val="23B84268"/>
    <w:rsid w:val="23BC3AB0"/>
    <w:rsid w:val="23C5553B"/>
    <w:rsid w:val="23D17D7B"/>
    <w:rsid w:val="23D36D91"/>
    <w:rsid w:val="23DD3EC1"/>
    <w:rsid w:val="23E344C7"/>
    <w:rsid w:val="23F70BA5"/>
    <w:rsid w:val="23F93D0D"/>
    <w:rsid w:val="240366A5"/>
    <w:rsid w:val="2405417E"/>
    <w:rsid w:val="240F5116"/>
    <w:rsid w:val="241B5C62"/>
    <w:rsid w:val="241C5F7B"/>
    <w:rsid w:val="24280875"/>
    <w:rsid w:val="24377DB7"/>
    <w:rsid w:val="243B745E"/>
    <w:rsid w:val="24427A08"/>
    <w:rsid w:val="24454B90"/>
    <w:rsid w:val="24572B1C"/>
    <w:rsid w:val="2458381E"/>
    <w:rsid w:val="245872F9"/>
    <w:rsid w:val="245943D9"/>
    <w:rsid w:val="245E6B64"/>
    <w:rsid w:val="2463385E"/>
    <w:rsid w:val="247C27F7"/>
    <w:rsid w:val="248123D8"/>
    <w:rsid w:val="248B0DC8"/>
    <w:rsid w:val="24967323"/>
    <w:rsid w:val="249817D6"/>
    <w:rsid w:val="249D5FC8"/>
    <w:rsid w:val="24A1538E"/>
    <w:rsid w:val="24A83667"/>
    <w:rsid w:val="24AD67F4"/>
    <w:rsid w:val="24B9450F"/>
    <w:rsid w:val="24C83F94"/>
    <w:rsid w:val="24DE3A8A"/>
    <w:rsid w:val="24E7219B"/>
    <w:rsid w:val="24F60CDA"/>
    <w:rsid w:val="24FC5D1A"/>
    <w:rsid w:val="24FE42EB"/>
    <w:rsid w:val="24FE7E17"/>
    <w:rsid w:val="25040446"/>
    <w:rsid w:val="250D450C"/>
    <w:rsid w:val="25134332"/>
    <w:rsid w:val="25141A5B"/>
    <w:rsid w:val="2521546A"/>
    <w:rsid w:val="252242ED"/>
    <w:rsid w:val="2524677D"/>
    <w:rsid w:val="252920ED"/>
    <w:rsid w:val="252A2BA6"/>
    <w:rsid w:val="252B49E0"/>
    <w:rsid w:val="253F6469"/>
    <w:rsid w:val="25487456"/>
    <w:rsid w:val="254940F1"/>
    <w:rsid w:val="254A35DD"/>
    <w:rsid w:val="254C7F67"/>
    <w:rsid w:val="255414CA"/>
    <w:rsid w:val="25626EE6"/>
    <w:rsid w:val="25657E8F"/>
    <w:rsid w:val="25734B61"/>
    <w:rsid w:val="25745F06"/>
    <w:rsid w:val="258277C2"/>
    <w:rsid w:val="258F6BC4"/>
    <w:rsid w:val="25975923"/>
    <w:rsid w:val="259A3D0A"/>
    <w:rsid w:val="25A76B90"/>
    <w:rsid w:val="25A95F3E"/>
    <w:rsid w:val="25AE7E68"/>
    <w:rsid w:val="25B4699E"/>
    <w:rsid w:val="25B7161F"/>
    <w:rsid w:val="25B75A0F"/>
    <w:rsid w:val="25BF43FD"/>
    <w:rsid w:val="25BF6041"/>
    <w:rsid w:val="25C35718"/>
    <w:rsid w:val="25C478B3"/>
    <w:rsid w:val="25CF0252"/>
    <w:rsid w:val="25D0248E"/>
    <w:rsid w:val="25D61C5C"/>
    <w:rsid w:val="25E03EE0"/>
    <w:rsid w:val="25EE28A7"/>
    <w:rsid w:val="25F81D70"/>
    <w:rsid w:val="25FB5636"/>
    <w:rsid w:val="25FE58A9"/>
    <w:rsid w:val="26047AC4"/>
    <w:rsid w:val="26070462"/>
    <w:rsid w:val="260D2C45"/>
    <w:rsid w:val="2628719C"/>
    <w:rsid w:val="26395C92"/>
    <w:rsid w:val="263F660E"/>
    <w:rsid w:val="26465DA0"/>
    <w:rsid w:val="26497858"/>
    <w:rsid w:val="264C485B"/>
    <w:rsid w:val="265A5249"/>
    <w:rsid w:val="266237C3"/>
    <w:rsid w:val="266749F2"/>
    <w:rsid w:val="266805A0"/>
    <w:rsid w:val="267550B9"/>
    <w:rsid w:val="2683543F"/>
    <w:rsid w:val="26985A9C"/>
    <w:rsid w:val="269C0A66"/>
    <w:rsid w:val="26A167B6"/>
    <w:rsid w:val="26AC7DE6"/>
    <w:rsid w:val="26B06894"/>
    <w:rsid w:val="26B431AD"/>
    <w:rsid w:val="26B654CA"/>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1248A"/>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34744"/>
    <w:rsid w:val="275E7380"/>
    <w:rsid w:val="27604751"/>
    <w:rsid w:val="27624780"/>
    <w:rsid w:val="276D7707"/>
    <w:rsid w:val="277419CB"/>
    <w:rsid w:val="2778582E"/>
    <w:rsid w:val="277F0B43"/>
    <w:rsid w:val="27806765"/>
    <w:rsid w:val="27832596"/>
    <w:rsid w:val="278C1620"/>
    <w:rsid w:val="279B1E53"/>
    <w:rsid w:val="27AA3521"/>
    <w:rsid w:val="27AB0725"/>
    <w:rsid w:val="27AB7429"/>
    <w:rsid w:val="27C57B2B"/>
    <w:rsid w:val="27C8029E"/>
    <w:rsid w:val="27CC78AC"/>
    <w:rsid w:val="27D72FE7"/>
    <w:rsid w:val="27D86029"/>
    <w:rsid w:val="27DC10DD"/>
    <w:rsid w:val="27DD45ED"/>
    <w:rsid w:val="27E069FC"/>
    <w:rsid w:val="27E3651B"/>
    <w:rsid w:val="27E864CC"/>
    <w:rsid w:val="27EC25E3"/>
    <w:rsid w:val="27ED0939"/>
    <w:rsid w:val="27F1498B"/>
    <w:rsid w:val="27FF3E3E"/>
    <w:rsid w:val="28014BFC"/>
    <w:rsid w:val="28027A71"/>
    <w:rsid w:val="281500D5"/>
    <w:rsid w:val="281F2BD3"/>
    <w:rsid w:val="281F4F67"/>
    <w:rsid w:val="28315056"/>
    <w:rsid w:val="283744B4"/>
    <w:rsid w:val="284029D8"/>
    <w:rsid w:val="28423E20"/>
    <w:rsid w:val="2843297C"/>
    <w:rsid w:val="28485D62"/>
    <w:rsid w:val="284B1E95"/>
    <w:rsid w:val="285560D7"/>
    <w:rsid w:val="285B0DE7"/>
    <w:rsid w:val="285B737A"/>
    <w:rsid w:val="28683649"/>
    <w:rsid w:val="28696098"/>
    <w:rsid w:val="286E74F1"/>
    <w:rsid w:val="28760CA0"/>
    <w:rsid w:val="28796ED0"/>
    <w:rsid w:val="287B218C"/>
    <w:rsid w:val="288A05DD"/>
    <w:rsid w:val="28937D89"/>
    <w:rsid w:val="289B0550"/>
    <w:rsid w:val="28BE71CB"/>
    <w:rsid w:val="28C96C14"/>
    <w:rsid w:val="28CA7CD7"/>
    <w:rsid w:val="28CD627E"/>
    <w:rsid w:val="28D04F68"/>
    <w:rsid w:val="28E138E3"/>
    <w:rsid w:val="28E74216"/>
    <w:rsid w:val="28E87EE4"/>
    <w:rsid w:val="2903396A"/>
    <w:rsid w:val="29087976"/>
    <w:rsid w:val="290B654D"/>
    <w:rsid w:val="29124309"/>
    <w:rsid w:val="29214B88"/>
    <w:rsid w:val="2921752E"/>
    <w:rsid w:val="294E766A"/>
    <w:rsid w:val="29513848"/>
    <w:rsid w:val="296B203C"/>
    <w:rsid w:val="297161D3"/>
    <w:rsid w:val="297510B4"/>
    <w:rsid w:val="2978319A"/>
    <w:rsid w:val="29832999"/>
    <w:rsid w:val="29886D49"/>
    <w:rsid w:val="29897A2F"/>
    <w:rsid w:val="29A02DFF"/>
    <w:rsid w:val="29A3014B"/>
    <w:rsid w:val="29A74CBD"/>
    <w:rsid w:val="29A80BF5"/>
    <w:rsid w:val="29B01C34"/>
    <w:rsid w:val="29B16357"/>
    <w:rsid w:val="29B277F5"/>
    <w:rsid w:val="29B35300"/>
    <w:rsid w:val="29BA0D88"/>
    <w:rsid w:val="29BA6381"/>
    <w:rsid w:val="29BB3E72"/>
    <w:rsid w:val="29C727C4"/>
    <w:rsid w:val="29CD6B73"/>
    <w:rsid w:val="29CF32B2"/>
    <w:rsid w:val="29DE15A2"/>
    <w:rsid w:val="29EC475A"/>
    <w:rsid w:val="29EC6874"/>
    <w:rsid w:val="29EF3680"/>
    <w:rsid w:val="29EF424E"/>
    <w:rsid w:val="29F45503"/>
    <w:rsid w:val="29FA7F26"/>
    <w:rsid w:val="2A074402"/>
    <w:rsid w:val="2A0A1918"/>
    <w:rsid w:val="2A144016"/>
    <w:rsid w:val="2A166823"/>
    <w:rsid w:val="2A191A5A"/>
    <w:rsid w:val="2A1D2FA8"/>
    <w:rsid w:val="2A2B1E4C"/>
    <w:rsid w:val="2A2E6F54"/>
    <w:rsid w:val="2A35650F"/>
    <w:rsid w:val="2A405845"/>
    <w:rsid w:val="2A45641B"/>
    <w:rsid w:val="2A496A6F"/>
    <w:rsid w:val="2A4C39E2"/>
    <w:rsid w:val="2A4D593F"/>
    <w:rsid w:val="2A58319D"/>
    <w:rsid w:val="2A5A4869"/>
    <w:rsid w:val="2A5C6B8D"/>
    <w:rsid w:val="2A614116"/>
    <w:rsid w:val="2A6A6FA4"/>
    <w:rsid w:val="2A6E31F8"/>
    <w:rsid w:val="2A704730"/>
    <w:rsid w:val="2A836D08"/>
    <w:rsid w:val="2A87174E"/>
    <w:rsid w:val="2A8A2F9C"/>
    <w:rsid w:val="2AAC5A06"/>
    <w:rsid w:val="2ABB3D6F"/>
    <w:rsid w:val="2AC25434"/>
    <w:rsid w:val="2AC40031"/>
    <w:rsid w:val="2AC70B30"/>
    <w:rsid w:val="2ACC2AAF"/>
    <w:rsid w:val="2AD56653"/>
    <w:rsid w:val="2AD74744"/>
    <w:rsid w:val="2AD91AC2"/>
    <w:rsid w:val="2AE17EE7"/>
    <w:rsid w:val="2AE57C95"/>
    <w:rsid w:val="2AF35C8B"/>
    <w:rsid w:val="2AFA03A2"/>
    <w:rsid w:val="2AFD1953"/>
    <w:rsid w:val="2B0B578B"/>
    <w:rsid w:val="2B0C0EEE"/>
    <w:rsid w:val="2B115540"/>
    <w:rsid w:val="2B132265"/>
    <w:rsid w:val="2B214776"/>
    <w:rsid w:val="2B2843BE"/>
    <w:rsid w:val="2B306227"/>
    <w:rsid w:val="2B313FC1"/>
    <w:rsid w:val="2B347C14"/>
    <w:rsid w:val="2B39348E"/>
    <w:rsid w:val="2B40177C"/>
    <w:rsid w:val="2B437285"/>
    <w:rsid w:val="2B494377"/>
    <w:rsid w:val="2B4B30FC"/>
    <w:rsid w:val="2B4D5018"/>
    <w:rsid w:val="2B4D695C"/>
    <w:rsid w:val="2B514803"/>
    <w:rsid w:val="2B5E14FB"/>
    <w:rsid w:val="2B637D4B"/>
    <w:rsid w:val="2B674B1E"/>
    <w:rsid w:val="2B6B1684"/>
    <w:rsid w:val="2B7B70BF"/>
    <w:rsid w:val="2B7E23C3"/>
    <w:rsid w:val="2B853AF3"/>
    <w:rsid w:val="2B8B422C"/>
    <w:rsid w:val="2B9C5243"/>
    <w:rsid w:val="2BA07D38"/>
    <w:rsid w:val="2BC40957"/>
    <w:rsid w:val="2BC936F8"/>
    <w:rsid w:val="2BCB5DAA"/>
    <w:rsid w:val="2BD32CF3"/>
    <w:rsid w:val="2BD65380"/>
    <w:rsid w:val="2BE65E96"/>
    <w:rsid w:val="2BE725D0"/>
    <w:rsid w:val="2BE838DD"/>
    <w:rsid w:val="2BF369B9"/>
    <w:rsid w:val="2BFC0A4A"/>
    <w:rsid w:val="2C094904"/>
    <w:rsid w:val="2C0E55A1"/>
    <w:rsid w:val="2C175D66"/>
    <w:rsid w:val="2C1C1B17"/>
    <w:rsid w:val="2C210873"/>
    <w:rsid w:val="2C3A7BF6"/>
    <w:rsid w:val="2C425BCE"/>
    <w:rsid w:val="2C44676A"/>
    <w:rsid w:val="2C485295"/>
    <w:rsid w:val="2C495C38"/>
    <w:rsid w:val="2C4A080C"/>
    <w:rsid w:val="2C54533B"/>
    <w:rsid w:val="2C591378"/>
    <w:rsid w:val="2C5D6F47"/>
    <w:rsid w:val="2C64684A"/>
    <w:rsid w:val="2C677A31"/>
    <w:rsid w:val="2C7004FB"/>
    <w:rsid w:val="2C770676"/>
    <w:rsid w:val="2C797A76"/>
    <w:rsid w:val="2C7B6B5D"/>
    <w:rsid w:val="2C8F4862"/>
    <w:rsid w:val="2C9E5AC8"/>
    <w:rsid w:val="2CA2721B"/>
    <w:rsid w:val="2CAC6D87"/>
    <w:rsid w:val="2CB600FC"/>
    <w:rsid w:val="2CD67463"/>
    <w:rsid w:val="2CD868D9"/>
    <w:rsid w:val="2CE079AD"/>
    <w:rsid w:val="2CE8526F"/>
    <w:rsid w:val="2CEC353A"/>
    <w:rsid w:val="2CED2CED"/>
    <w:rsid w:val="2CEF21C5"/>
    <w:rsid w:val="2D015187"/>
    <w:rsid w:val="2D026315"/>
    <w:rsid w:val="2D03083C"/>
    <w:rsid w:val="2D0764BD"/>
    <w:rsid w:val="2D086672"/>
    <w:rsid w:val="2D0B3169"/>
    <w:rsid w:val="2D0D4219"/>
    <w:rsid w:val="2D10263F"/>
    <w:rsid w:val="2D1E0AF2"/>
    <w:rsid w:val="2D271D68"/>
    <w:rsid w:val="2D274320"/>
    <w:rsid w:val="2D2D2DE2"/>
    <w:rsid w:val="2D321869"/>
    <w:rsid w:val="2D324CCC"/>
    <w:rsid w:val="2D334274"/>
    <w:rsid w:val="2D340E86"/>
    <w:rsid w:val="2D395427"/>
    <w:rsid w:val="2D3C2966"/>
    <w:rsid w:val="2D3D0E02"/>
    <w:rsid w:val="2D5436FA"/>
    <w:rsid w:val="2D62469E"/>
    <w:rsid w:val="2D690FFD"/>
    <w:rsid w:val="2D6B40A9"/>
    <w:rsid w:val="2D6C155B"/>
    <w:rsid w:val="2D6D2DA6"/>
    <w:rsid w:val="2D707235"/>
    <w:rsid w:val="2D8A3FA2"/>
    <w:rsid w:val="2D921BED"/>
    <w:rsid w:val="2D94006F"/>
    <w:rsid w:val="2D9767DC"/>
    <w:rsid w:val="2D980DDC"/>
    <w:rsid w:val="2D983122"/>
    <w:rsid w:val="2D987372"/>
    <w:rsid w:val="2D9B18FB"/>
    <w:rsid w:val="2DA23D5C"/>
    <w:rsid w:val="2DB11DB0"/>
    <w:rsid w:val="2DB872E3"/>
    <w:rsid w:val="2DC66A91"/>
    <w:rsid w:val="2DC92AA1"/>
    <w:rsid w:val="2DCE5F69"/>
    <w:rsid w:val="2DDD4F0A"/>
    <w:rsid w:val="2DF36562"/>
    <w:rsid w:val="2DF829F8"/>
    <w:rsid w:val="2E063012"/>
    <w:rsid w:val="2E1F0CF7"/>
    <w:rsid w:val="2E3118D8"/>
    <w:rsid w:val="2E34792A"/>
    <w:rsid w:val="2E437E73"/>
    <w:rsid w:val="2E484C58"/>
    <w:rsid w:val="2E5034DC"/>
    <w:rsid w:val="2E572AB9"/>
    <w:rsid w:val="2E7057C3"/>
    <w:rsid w:val="2E7258DC"/>
    <w:rsid w:val="2E79458E"/>
    <w:rsid w:val="2E797A78"/>
    <w:rsid w:val="2E7C6A94"/>
    <w:rsid w:val="2E8321A5"/>
    <w:rsid w:val="2E8945B3"/>
    <w:rsid w:val="2E8D14A8"/>
    <w:rsid w:val="2E9B7377"/>
    <w:rsid w:val="2E9F6D95"/>
    <w:rsid w:val="2EAA33F6"/>
    <w:rsid w:val="2EAE350B"/>
    <w:rsid w:val="2EB16AB5"/>
    <w:rsid w:val="2EB20A6C"/>
    <w:rsid w:val="2EBC2287"/>
    <w:rsid w:val="2EBF350E"/>
    <w:rsid w:val="2EC255A6"/>
    <w:rsid w:val="2ECA3116"/>
    <w:rsid w:val="2ECC549E"/>
    <w:rsid w:val="2ED53442"/>
    <w:rsid w:val="2EDC10BC"/>
    <w:rsid w:val="2EDD7896"/>
    <w:rsid w:val="2EEA6E65"/>
    <w:rsid w:val="2EF31F38"/>
    <w:rsid w:val="2EF33C7C"/>
    <w:rsid w:val="2EF66AA8"/>
    <w:rsid w:val="2F00052B"/>
    <w:rsid w:val="2F0367CD"/>
    <w:rsid w:val="2F0B683E"/>
    <w:rsid w:val="2F1251F2"/>
    <w:rsid w:val="2F1B08DB"/>
    <w:rsid w:val="2F2D445E"/>
    <w:rsid w:val="2F3F30B1"/>
    <w:rsid w:val="2F4F6FBB"/>
    <w:rsid w:val="2F664E2B"/>
    <w:rsid w:val="2F667A76"/>
    <w:rsid w:val="2F6C7BE3"/>
    <w:rsid w:val="2F6E3A80"/>
    <w:rsid w:val="2F715580"/>
    <w:rsid w:val="2F783485"/>
    <w:rsid w:val="2F7F5C0B"/>
    <w:rsid w:val="2FA6492D"/>
    <w:rsid w:val="2FC86676"/>
    <w:rsid w:val="2FCE35FC"/>
    <w:rsid w:val="2FD150ED"/>
    <w:rsid w:val="2FD17A1B"/>
    <w:rsid w:val="2FD71CA4"/>
    <w:rsid w:val="2FDA1416"/>
    <w:rsid w:val="2FDC4A8D"/>
    <w:rsid w:val="2FDE43D5"/>
    <w:rsid w:val="2FE73901"/>
    <w:rsid w:val="2FEE50B1"/>
    <w:rsid w:val="2FF93066"/>
    <w:rsid w:val="300D4197"/>
    <w:rsid w:val="301A71CE"/>
    <w:rsid w:val="301C3E88"/>
    <w:rsid w:val="301E049B"/>
    <w:rsid w:val="30291460"/>
    <w:rsid w:val="302A4BE6"/>
    <w:rsid w:val="303C7735"/>
    <w:rsid w:val="304117E8"/>
    <w:rsid w:val="304478EC"/>
    <w:rsid w:val="30515C8E"/>
    <w:rsid w:val="30517245"/>
    <w:rsid w:val="305F776C"/>
    <w:rsid w:val="306C64E5"/>
    <w:rsid w:val="3091013E"/>
    <w:rsid w:val="30926F91"/>
    <w:rsid w:val="309440A1"/>
    <w:rsid w:val="30962F3E"/>
    <w:rsid w:val="30AA2585"/>
    <w:rsid w:val="30B03DC4"/>
    <w:rsid w:val="30C16A19"/>
    <w:rsid w:val="30CB5800"/>
    <w:rsid w:val="30D32236"/>
    <w:rsid w:val="30EC5919"/>
    <w:rsid w:val="30ED0AB9"/>
    <w:rsid w:val="30F92FE5"/>
    <w:rsid w:val="30FA7530"/>
    <w:rsid w:val="30FF2795"/>
    <w:rsid w:val="310225AA"/>
    <w:rsid w:val="310375CD"/>
    <w:rsid w:val="310B0487"/>
    <w:rsid w:val="310E6387"/>
    <w:rsid w:val="311611B3"/>
    <w:rsid w:val="311A6C35"/>
    <w:rsid w:val="31333AA3"/>
    <w:rsid w:val="313A114A"/>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D1378"/>
    <w:rsid w:val="31996F59"/>
    <w:rsid w:val="319C0099"/>
    <w:rsid w:val="31B708BF"/>
    <w:rsid w:val="31B718F2"/>
    <w:rsid w:val="31C819E4"/>
    <w:rsid w:val="31C916F7"/>
    <w:rsid w:val="31D20051"/>
    <w:rsid w:val="31D54649"/>
    <w:rsid w:val="31E270CF"/>
    <w:rsid w:val="31E806EF"/>
    <w:rsid w:val="31EF7EE8"/>
    <w:rsid w:val="31FE3FD5"/>
    <w:rsid w:val="31FF1FAB"/>
    <w:rsid w:val="3201404F"/>
    <w:rsid w:val="32044D0F"/>
    <w:rsid w:val="320901F5"/>
    <w:rsid w:val="320A71A6"/>
    <w:rsid w:val="320B7CCB"/>
    <w:rsid w:val="320F12CA"/>
    <w:rsid w:val="32105DE8"/>
    <w:rsid w:val="32163AC8"/>
    <w:rsid w:val="322E1E58"/>
    <w:rsid w:val="3235187E"/>
    <w:rsid w:val="3237186B"/>
    <w:rsid w:val="323B6798"/>
    <w:rsid w:val="32470AEB"/>
    <w:rsid w:val="32537B57"/>
    <w:rsid w:val="325779E7"/>
    <w:rsid w:val="325B1D9C"/>
    <w:rsid w:val="325F618E"/>
    <w:rsid w:val="32724A5B"/>
    <w:rsid w:val="32757E99"/>
    <w:rsid w:val="32770A74"/>
    <w:rsid w:val="327D43E5"/>
    <w:rsid w:val="328C11FD"/>
    <w:rsid w:val="328E4700"/>
    <w:rsid w:val="328F5534"/>
    <w:rsid w:val="329A6ACE"/>
    <w:rsid w:val="32A145CA"/>
    <w:rsid w:val="32A230DB"/>
    <w:rsid w:val="32A56DE7"/>
    <w:rsid w:val="32B2363B"/>
    <w:rsid w:val="32BB0394"/>
    <w:rsid w:val="32CE7F7A"/>
    <w:rsid w:val="32DF351E"/>
    <w:rsid w:val="32EE5E41"/>
    <w:rsid w:val="32F40F87"/>
    <w:rsid w:val="32F549ED"/>
    <w:rsid w:val="32FD7C76"/>
    <w:rsid w:val="330C22FC"/>
    <w:rsid w:val="330D704C"/>
    <w:rsid w:val="33277E81"/>
    <w:rsid w:val="33304A5C"/>
    <w:rsid w:val="334037E5"/>
    <w:rsid w:val="33404DED"/>
    <w:rsid w:val="334B2535"/>
    <w:rsid w:val="33540E5D"/>
    <w:rsid w:val="33575633"/>
    <w:rsid w:val="33587D60"/>
    <w:rsid w:val="335A0521"/>
    <w:rsid w:val="335E7B11"/>
    <w:rsid w:val="336032E8"/>
    <w:rsid w:val="3364318B"/>
    <w:rsid w:val="33691888"/>
    <w:rsid w:val="336A499A"/>
    <w:rsid w:val="336F3D1A"/>
    <w:rsid w:val="33714830"/>
    <w:rsid w:val="33737F51"/>
    <w:rsid w:val="33764F61"/>
    <w:rsid w:val="337964FF"/>
    <w:rsid w:val="337D34FB"/>
    <w:rsid w:val="337E2DAF"/>
    <w:rsid w:val="338B20EC"/>
    <w:rsid w:val="33953C2E"/>
    <w:rsid w:val="339D6884"/>
    <w:rsid w:val="33A47053"/>
    <w:rsid w:val="33A5256D"/>
    <w:rsid w:val="33BF4199"/>
    <w:rsid w:val="33C17F75"/>
    <w:rsid w:val="33C259F7"/>
    <w:rsid w:val="33C47354"/>
    <w:rsid w:val="33CD6498"/>
    <w:rsid w:val="33D11B59"/>
    <w:rsid w:val="33D52499"/>
    <w:rsid w:val="33D7554F"/>
    <w:rsid w:val="33ED2B2C"/>
    <w:rsid w:val="33FB4AD5"/>
    <w:rsid w:val="33FE62E7"/>
    <w:rsid w:val="33FF10E4"/>
    <w:rsid w:val="34080399"/>
    <w:rsid w:val="340D25F6"/>
    <w:rsid w:val="341E0A7E"/>
    <w:rsid w:val="34216BA7"/>
    <w:rsid w:val="3429226D"/>
    <w:rsid w:val="342B76C7"/>
    <w:rsid w:val="3430602A"/>
    <w:rsid w:val="34341A95"/>
    <w:rsid w:val="343A1527"/>
    <w:rsid w:val="34447898"/>
    <w:rsid w:val="344E62FA"/>
    <w:rsid w:val="34710119"/>
    <w:rsid w:val="3472082E"/>
    <w:rsid w:val="3472234D"/>
    <w:rsid w:val="34764F43"/>
    <w:rsid w:val="347D500F"/>
    <w:rsid w:val="34830157"/>
    <w:rsid w:val="34872D27"/>
    <w:rsid w:val="348E58C4"/>
    <w:rsid w:val="349164BD"/>
    <w:rsid w:val="3499657C"/>
    <w:rsid w:val="34B65EEA"/>
    <w:rsid w:val="34BD02AE"/>
    <w:rsid w:val="34CB7C0B"/>
    <w:rsid w:val="34D545BA"/>
    <w:rsid w:val="34DA26A8"/>
    <w:rsid w:val="34DF00B4"/>
    <w:rsid w:val="34E56BEF"/>
    <w:rsid w:val="34E960F1"/>
    <w:rsid w:val="34F34951"/>
    <w:rsid w:val="34FD3BA4"/>
    <w:rsid w:val="350B42D5"/>
    <w:rsid w:val="350F6258"/>
    <w:rsid w:val="351A603C"/>
    <w:rsid w:val="352821F6"/>
    <w:rsid w:val="353348DC"/>
    <w:rsid w:val="3533698A"/>
    <w:rsid w:val="35387F19"/>
    <w:rsid w:val="3539550B"/>
    <w:rsid w:val="353C6F42"/>
    <w:rsid w:val="35533061"/>
    <w:rsid w:val="35553BD3"/>
    <w:rsid w:val="35553C0F"/>
    <w:rsid w:val="356678B4"/>
    <w:rsid w:val="356F0F35"/>
    <w:rsid w:val="3573649F"/>
    <w:rsid w:val="357C2CDC"/>
    <w:rsid w:val="357E4B0A"/>
    <w:rsid w:val="35807F17"/>
    <w:rsid w:val="35866D7F"/>
    <w:rsid w:val="35897ADA"/>
    <w:rsid w:val="358F6BDF"/>
    <w:rsid w:val="35A65234"/>
    <w:rsid w:val="35C06D50"/>
    <w:rsid w:val="35CA3D9E"/>
    <w:rsid w:val="35CD6F14"/>
    <w:rsid w:val="35D24294"/>
    <w:rsid w:val="35D71152"/>
    <w:rsid w:val="35D963E6"/>
    <w:rsid w:val="35DA117F"/>
    <w:rsid w:val="35DC736B"/>
    <w:rsid w:val="35ED4C4F"/>
    <w:rsid w:val="35F13CA9"/>
    <w:rsid w:val="35F23B39"/>
    <w:rsid w:val="35FF6F3C"/>
    <w:rsid w:val="36075F27"/>
    <w:rsid w:val="36121506"/>
    <w:rsid w:val="36184CAB"/>
    <w:rsid w:val="361A62E3"/>
    <w:rsid w:val="361D621A"/>
    <w:rsid w:val="361D7A43"/>
    <w:rsid w:val="361F3323"/>
    <w:rsid w:val="363B4A32"/>
    <w:rsid w:val="36402EFA"/>
    <w:rsid w:val="36432BB5"/>
    <w:rsid w:val="36496A51"/>
    <w:rsid w:val="365623F6"/>
    <w:rsid w:val="36816994"/>
    <w:rsid w:val="36820DFD"/>
    <w:rsid w:val="368230C6"/>
    <w:rsid w:val="36831B61"/>
    <w:rsid w:val="36843A03"/>
    <w:rsid w:val="368E7248"/>
    <w:rsid w:val="368F7E4F"/>
    <w:rsid w:val="36985297"/>
    <w:rsid w:val="3699519F"/>
    <w:rsid w:val="369F633B"/>
    <w:rsid w:val="36A30FDB"/>
    <w:rsid w:val="36A7007C"/>
    <w:rsid w:val="36B24AE8"/>
    <w:rsid w:val="36BD0DC4"/>
    <w:rsid w:val="36C93B04"/>
    <w:rsid w:val="36D51D00"/>
    <w:rsid w:val="36D66B5E"/>
    <w:rsid w:val="36D94FAB"/>
    <w:rsid w:val="36E64E5D"/>
    <w:rsid w:val="36E93760"/>
    <w:rsid w:val="36F9022B"/>
    <w:rsid w:val="36FB4305"/>
    <w:rsid w:val="3708597F"/>
    <w:rsid w:val="3709624C"/>
    <w:rsid w:val="37096815"/>
    <w:rsid w:val="370F7060"/>
    <w:rsid w:val="371050B8"/>
    <w:rsid w:val="37134801"/>
    <w:rsid w:val="37173233"/>
    <w:rsid w:val="371C344E"/>
    <w:rsid w:val="371D31FA"/>
    <w:rsid w:val="37202311"/>
    <w:rsid w:val="37226558"/>
    <w:rsid w:val="3734159D"/>
    <w:rsid w:val="37382526"/>
    <w:rsid w:val="373B4C89"/>
    <w:rsid w:val="373E1462"/>
    <w:rsid w:val="373F4A34"/>
    <w:rsid w:val="37503E6C"/>
    <w:rsid w:val="3758590A"/>
    <w:rsid w:val="375E77B2"/>
    <w:rsid w:val="37602E60"/>
    <w:rsid w:val="378229A7"/>
    <w:rsid w:val="3784394E"/>
    <w:rsid w:val="37856510"/>
    <w:rsid w:val="37873940"/>
    <w:rsid w:val="37944D89"/>
    <w:rsid w:val="379850C2"/>
    <w:rsid w:val="37987437"/>
    <w:rsid w:val="379D02E5"/>
    <w:rsid w:val="379F33FC"/>
    <w:rsid w:val="37A432E4"/>
    <w:rsid w:val="37A86196"/>
    <w:rsid w:val="37AE7266"/>
    <w:rsid w:val="37B173A7"/>
    <w:rsid w:val="37C94031"/>
    <w:rsid w:val="37CA042E"/>
    <w:rsid w:val="37D44549"/>
    <w:rsid w:val="37D77B09"/>
    <w:rsid w:val="37D97EDE"/>
    <w:rsid w:val="37DF2F93"/>
    <w:rsid w:val="37E76E34"/>
    <w:rsid w:val="37FE02EA"/>
    <w:rsid w:val="3802360F"/>
    <w:rsid w:val="38083B97"/>
    <w:rsid w:val="380D02B1"/>
    <w:rsid w:val="380F1889"/>
    <w:rsid w:val="38137C9C"/>
    <w:rsid w:val="38144AE5"/>
    <w:rsid w:val="381F4DE1"/>
    <w:rsid w:val="382B1BDF"/>
    <w:rsid w:val="382E392C"/>
    <w:rsid w:val="38342E90"/>
    <w:rsid w:val="384B7332"/>
    <w:rsid w:val="385056AF"/>
    <w:rsid w:val="38505C1D"/>
    <w:rsid w:val="38571C7D"/>
    <w:rsid w:val="38593C76"/>
    <w:rsid w:val="386A7142"/>
    <w:rsid w:val="386C4257"/>
    <w:rsid w:val="38706DCB"/>
    <w:rsid w:val="38784056"/>
    <w:rsid w:val="38885FCC"/>
    <w:rsid w:val="388E5848"/>
    <w:rsid w:val="3896426D"/>
    <w:rsid w:val="38A058F5"/>
    <w:rsid w:val="38A341A7"/>
    <w:rsid w:val="38A75C0A"/>
    <w:rsid w:val="38B624DA"/>
    <w:rsid w:val="38BB7AA6"/>
    <w:rsid w:val="38BD31EE"/>
    <w:rsid w:val="38CB3BDF"/>
    <w:rsid w:val="38CB7A3E"/>
    <w:rsid w:val="38D33D29"/>
    <w:rsid w:val="38D41CCF"/>
    <w:rsid w:val="38D808BC"/>
    <w:rsid w:val="38E40A5B"/>
    <w:rsid w:val="38E45923"/>
    <w:rsid w:val="38F16A28"/>
    <w:rsid w:val="38FA10A5"/>
    <w:rsid w:val="390A2E6E"/>
    <w:rsid w:val="390E7299"/>
    <w:rsid w:val="391272E9"/>
    <w:rsid w:val="391A1130"/>
    <w:rsid w:val="391A3359"/>
    <w:rsid w:val="39243950"/>
    <w:rsid w:val="39285D57"/>
    <w:rsid w:val="39305263"/>
    <w:rsid w:val="394303B9"/>
    <w:rsid w:val="394915ED"/>
    <w:rsid w:val="394B6470"/>
    <w:rsid w:val="394E0245"/>
    <w:rsid w:val="395B1104"/>
    <w:rsid w:val="395C6EA8"/>
    <w:rsid w:val="39660A83"/>
    <w:rsid w:val="39747EC7"/>
    <w:rsid w:val="39752A0F"/>
    <w:rsid w:val="39872512"/>
    <w:rsid w:val="399F1258"/>
    <w:rsid w:val="39A602F9"/>
    <w:rsid w:val="39BD45C8"/>
    <w:rsid w:val="39C1574C"/>
    <w:rsid w:val="39C2316A"/>
    <w:rsid w:val="39CE553A"/>
    <w:rsid w:val="39D733F3"/>
    <w:rsid w:val="39D87563"/>
    <w:rsid w:val="39E8110F"/>
    <w:rsid w:val="39F36281"/>
    <w:rsid w:val="39F81192"/>
    <w:rsid w:val="39FD376D"/>
    <w:rsid w:val="39FD6C9C"/>
    <w:rsid w:val="3A0224B9"/>
    <w:rsid w:val="3A16728B"/>
    <w:rsid w:val="3A16794C"/>
    <w:rsid w:val="3A174803"/>
    <w:rsid w:val="3A1F6809"/>
    <w:rsid w:val="3A226969"/>
    <w:rsid w:val="3A286675"/>
    <w:rsid w:val="3A3F47CE"/>
    <w:rsid w:val="3A4E1C5D"/>
    <w:rsid w:val="3A523735"/>
    <w:rsid w:val="3A557AE4"/>
    <w:rsid w:val="3A5F0BE3"/>
    <w:rsid w:val="3A613D40"/>
    <w:rsid w:val="3A6B0F84"/>
    <w:rsid w:val="3A6B3360"/>
    <w:rsid w:val="3A727435"/>
    <w:rsid w:val="3A813EA6"/>
    <w:rsid w:val="3A82130D"/>
    <w:rsid w:val="3A94055A"/>
    <w:rsid w:val="3AB00167"/>
    <w:rsid w:val="3ABC496A"/>
    <w:rsid w:val="3AC17E3A"/>
    <w:rsid w:val="3AC4083B"/>
    <w:rsid w:val="3ACB5746"/>
    <w:rsid w:val="3ACD76A7"/>
    <w:rsid w:val="3ACE209E"/>
    <w:rsid w:val="3ACF1A69"/>
    <w:rsid w:val="3ACF294F"/>
    <w:rsid w:val="3AD14283"/>
    <w:rsid w:val="3ADB2B83"/>
    <w:rsid w:val="3ADB572C"/>
    <w:rsid w:val="3ADD2B05"/>
    <w:rsid w:val="3AE417E3"/>
    <w:rsid w:val="3AE440AF"/>
    <w:rsid w:val="3AEE0E24"/>
    <w:rsid w:val="3AF7667E"/>
    <w:rsid w:val="3B100AE6"/>
    <w:rsid w:val="3B113F51"/>
    <w:rsid w:val="3B192990"/>
    <w:rsid w:val="3B253D7E"/>
    <w:rsid w:val="3B2965F0"/>
    <w:rsid w:val="3B2D3716"/>
    <w:rsid w:val="3B307112"/>
    <w:rsid w:val="3B354011"/>
    <w:rsid w:val="3B386133"/>
    <w:rsid w:val="3B3939FB"/>
    <w:rsid w:val="3B3E5BDD"/>
    <w:rsid w:val="3B466150"/>
    <w:rsid w:val="3B48093E"/>
    <w:rsid w:val="3B543B9A"/>
    <w:rsid w:val="3B5A2A22"/>
    <w:rsid w:val="3B63785C"/>
    <w:rsid w:val="3B6841B0"/>
    <w:rsid w:val="3B707794"/>
    <w:rsid w:val="3B751B9A"/>
    <w:rsid w:val="3B773A0C"/>
    <w:rsid w:val="3B7804A3"/>
    <w:rsid w:val="3B7B70D6"/>
    <w:rsid w:val="3B8443B3"/>
    <w:rsid w:val="3B8E2153"/>
    <w:rsid w:val="3B95464E"/>
    <w:rsid w:val="3B9B2072"/>
    <w:rsid w:val="3B9F07E0"/>
    <w:rsid w:val="3BA03B83"/>
    <w:rsid w:val="3BA34296"/>
    <w:rsid w:val="3BB20883"/>
    <w:rsid w:val="3BC05BA8"/>
    <w:rsid w:val="3BC217B7"/>
    <w:rsid w:val="3BC34E75"/>
    <w:rsid w:val="3BCB270F"/>
    <w:rsid w:val="3BCE3AFC"/>
    <w:rsid w:val="3BD96AA6"/>
    <w:rsid w:val="3BDB182F"/>
    <w:rsid w:val="3BDF1712"/>
    <w:rsid w:val="3BED002E"/>
    <w:rsid w:val="3C000A6C"/>
    <w:rsid w:val="3C012D01"/>
    <w:rsid w:val="3C0429BF"/>
    <w:rsid w:val="3C0C296C"/>
    <w:rsid w:val="3C1A201A"/>
    <w:rsid w:val="3C204D27"/>
    <w:rsid w:val="3C276807"/>
    <w:rsid w:val="3C371D4B"/>
    <w:rsid w:val="3C3865F6"/>
    <w:rsid w:val="3C3B4B9D"/>
    <w:rsid w:val="3C3E4F02"/>
    <w:rsid w:val="3C413C82"/>
    <w:rsid w:val="3C440048"/>
    <w:rsid w:val="3C471C36"/>
    <w:rsid w:val="3C4B0140"/>
    <w:rsid w:val="3C4D66ED"/>
    <w:rsid w:val="3C5A1883"/>
    <w:rsid w:val="3C5A6B66"/>
    <w:rsid w:val="3C687D45"/>
    <w:rsid w:val="3C734413"/>
    <w:rsid w:val="3C7537FA"/>
    <w:rsid w:val="3C8620A7"/>
    <w:rsid w:val="3C8F4440"/>
    <w:rsid w:val="3C98042A"/>
    <w:rsid w:val="3C982C18"/>
    <w:rsid w:val="3C9C64EF"/>
    <w:rsid w:val="3CA734F8"/>
    <w:rsid w:val="3CA95F71"/>
    <w:rsid w:val="3CAD771B"/>
    <w:rsid w:val="3CC16893"/>
    <w:rsid w:val="3CC67E5A"/>
    <w:rsid w:val="3CC74223"/>
    <w:rsid w:val="3CC769FD"/>
    <w:rsid w:val="3CC828D0"/>
    <w:rsid w:val="3CD50970"/>
    <w:rsid w:val="3CDB5F96"/>
    <w:rsid w:val="3CE23F49"/>
    <w:rsid w:val="3CE34050"/>
    <w:rsid w:val="3CE47078"/>
    <w:rsid w:val="3CE74670"/>
    <w:rsid w:val="3CEC39B8"/>
    <w:rsid w:val="3CF720E3"/>
    <w:rsid w:val="3CF72D6A"/>
    <w:rsid w:val="3CF86D06"/>
    <w:rsid w:val="3D00620E"/>
    <w:rsid w:val="3D035226"/>
    <w:rsid w:val="3D0C2638"/>
    <w:rsid w:val="3D271DEF"/>
    <w:rsid w:val="3D316CDB"/>
    <w:rsid w:val="3D3D6BBD"/>
    <w:rsid w:val="3D3E2127"/>
    <w:rsid w:val="3D43773B"/>
    <w:rsid w:val="3D450F8C"/>
    <w:rsid w:val="3D477118"/>
    <w:rsid w:val="3D570828"/>
    <w:rsid w:val="3D594E54"/>
    <w:rsid w:val="3D595C4A"/>
    <w:rsid w:val="3D62706F"/>
    <w:rsid w:val="3D6E2272"/>
    <w:rsid w:val="3D755D9D"/>
    <w:rsid w:val="3D7C727A"/>
    <w:rsid w:val="3D81786B"/>
    <w:rsid w:val="3D830417"/>
    <w:rsid w:val="3D877AC5"/>
    <w:rsid w:val="3D882D35"/>
    <w:rsid w:val="3D8D2848"/>
    <w:rsid w:val="3D94235D"/>
    <w:rsid w:val="3D9461E1"/>
    <w:rsid w:val="3D9B1545"/>
    <w:rsid w:val="3DB34E86"/>
    <w:rsid w:val="3DB50DF4"/>
    <w:rsid w:val="3DB64D77"/>
    <w:rsid w:val="3DCF7004"/>
    <w:rsid w:val="3DDA4B31"/>
    <w:rsid w:val="3DDB2309"/>
    <w:rsid w:val="3DDB67AE"/>
    <w:rsid w:val="3DE90C78"/>
    <w:rsid w:val="3DED0F96"/>
    <w:rsid w:val="3DF95812"/>
    <w:rsid w:val="3DFD28B5"/>
    <w:rsid w:val="3E1408C1"/>
    <w:rsid w:val="3E1B3AAC"/>
    <w:rsid w:val="3E1D4B24"/>
    <w:rsid w:val="3E2B1325"/>
    <w:rsid w:val="3E374A6D"/>
    <w:rsid w:val="3E3A04FA"/>
    <w:rsid w:val="3E3B1403"/>
    <w:rsid w:val="3E3D6B96"/>
    <w:rsid w:val="3E407430"/>
    <w:rsid w:val="3E441C7D"/>
    <w:rsid w:val="3E490256"/>
    <w:rsid w:val="3E4C47D8"/>
    <w:rsid w:val="3E4E163C"/>
    <w:rsid w:val="3E4E3E8B"/>
    <w:rsid w:val="3E55739E"/>
    <w:rsid w:val="3E557A55"/>
    <w:rsid w:val="3E563D59"/>
    <w:rsid w:val="3E5E28E2"/>
    <w:rsid w:val="3E6C43C8"/>
    <w:rsid w:val="3E8227F0"/>
    <w:rsid w:val="3E8316FA"/>
    <w:rsid w:val="3E855C22"/>
    <w:rsid w:val="3E876237"/>
    <w:rsid w:val="3E900915"/>
    <w:rsid w:val="3E9055C8"/>
    <w:rsid w:val="3E937F82"/>
    <w:rsid w:val="3E9A1443"/>
    <w:rsid w:val="3E9B0A2E"/>
    <w:rsid w:val="3E9B4B40"/>
    <w:rsid w:val="3EA53AF8"/>
    <w:rsid w:val="3EB709F3"/>
    <w:rsid w:val="3EB71AC8"/>
    <w:rsid w:val="3EB93EF6"/>
    <w:rsid w:val="3EBB29A2"/>
    <w:rsid w:val="3EC71336"/>
    <w:rsid w:val="3EC85E34"/>
    <w:rsid w:val="3ECD2EE4"/>
    <w:rsid w:val="3ECF2AAC"/>
    <w:rsid w:val="3ED0424C"/>
    <w:rsid w:val="3ED07B7E"/>
    <w:rsid w:val="3ED16FB1"/>
    <w:rsid w:val="3ED425B7"/>
    <w:rsid w:val="3EDA522E"/>
    <w:rsid w:val="3EE63AC0"/>
    <w:rsid w:val="3EEB4E5A"/>
    <w:rsid w:val="3EEC1C8B"/>
    <w:rsid w:val="3EF31E7F"/>
    <w:rsid w:val="3EF36DF0"/>
    <w:rsid w:val="3EFB0134"/>
    <w:rsid w:val="3F0110D6"/>
    <w:rsid w:val="3F035EE1"/>
    <w:rsid w:val="3F053EF6"/>
    <w:rsid w:val="3F093188"/>
    <w:rsid w:val="3F173F6B"/>
    <w:rsid w:val="3F1E1DE8"/>
    <w:rsid w:val="3F253B0C"/>
    <w:rsid w:val="3F2C04C4"/>
    <w:rsid w:val="3F371EF0"/>
    <w:rsid w:val="3F374FF9"/>
    <w:rsid w:val="3F3E7C9F"/>
    <w:rsid w:val="3F416B99"/>
    <w:rsid w:val="3F4F5AD7"/>
    <w:rsid w:val="3F5E304E"/>
    <w:rsid w:val="3F643908"/>
    <w:rsid w:val="3F6B75A6"/>
    <w:rsid w:val="3F6C393F"/>
    <w:rsid w:val="3F6C7EC6"/>
    <w:rsid w:val="3F791334"/>
    <w:rsid w:val="3F8C0A49"/>
    <w:rsid w:val="3F8E7DCD"/>
    <w:rsid w:val="3F913853"/>
    <w:rsid w:val="3F9660C3"/>
    <w:rsid w:val="3F9724DD"/>
    <w:rsid w:val="3FA827ED"/>
    <w:rsid w:val="3FB45C58"/>
    <w:rsid w:val="3FB97AA8"/>
    <w:rsid w:val="3FBE7F20"/>
    <w:rsid w:val="3FC36557"/>
    <w:rsid w:val="3FC956FF"/>
    <w:rsid w:val="3FCA4020"/>
    <w:rsid w:val="3FD13F50"/>
    <w:rsid w:val="3FD858EB"/>
    <w:rsid w:val="3FDC5F31"/>
    <w:rsid w:val="3FE04625"/>
    <w:rsid w:val="3FE86CE8"/>
    <w:rsid w:val="3FF82684"/>
    <w:rsid w:val="3FFB0F66"/>
    <w:rsid w:val="40146E6B"/>
    <w:rsid w:val="401D167F"/>
    <w:rsid w:val="402C6E5E"/>
    <w:rsid w:val="402D4C90"/>
    <w:rsid w:val="403052F1"/>
    <w:rsid w:val="40321098"/>
    <w:rsid w:val="40330D29"/>
    <w:rsid w:val="40341B69"/>
    <w:rsid w:val="404469FD"/>
    <w:rsid w:val="404638CD"/>
    <w:rsid w:val="404A2717"/>
    <w:rsid w:val="404B5F5D"/>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B14EF"/>
    <w:rsid w:val="40CF543F"/>
    <w:rsid w:val="40EC7D18"/>
    <w:rsid w:val="40ED11A0"/>
    <w:rsid w:val="40FA7F84"/>
    <w:rsid w:val="40FD1BF0"/>
    <w:rsid w:val="40FE0220"/>
    <w:rsid w:val="41096BC0"/>
    <w:rsid w:val="410A75B6"/>
    <w:rsid w:val="410B452A"/>
    <w:rsid w:val="41122DD0"/>
    <w:rsid w:val="411251DD"/>
    <w:rsid w:val="41146D26"/>
    <w:rsid w:val="411D1161"/>
    <w:rsid w:val="41334FB7"/>
    <w:rsid w:val="413353F1"/>
    <w:rsid w:val="413735AC"/>
    <w:rsid w:val="4137558E"/>
    <w:rsid w:val="4146047F"/>
    <w:rsid w:val="41513BC9"/>
    <w:rsid w:val="416B4DCF"/>
    <w:rsid w:val="41735B7F"/>
    <w:rsid w:val="41810E86"/>
    <w:rsid w:val="41850830"/>
    <w:rsid w:val="4185372F"/>
    <w:rsid w:val="419658B5"/>
    <w:rsid w:val="419868AD"/>
    <w:rsid w:val="419E60D3"/>
    <w:rsid w:val="419F3CCA"/>
    <w:rsid w:val="41A339F5"/>
    <w:rsid w:val="41A36C7E"/>
    <w:rsid w:val="41A40141"/>
    <w:rsid w:val="41A55BC2"/>
    <w:rsid w:val="41B928D7"/>
    <w:rsid w:val="41BA3A2C"/>
    <w:rsid w:val="41BB3AE7"/>
    <w:rsid w:val="41BD1DEE"/>
    <w:rsid w:val="41C93F6C"/>
    <w:rsid w:val="41D540E6"/>
    <w:rsid w:val="41D71584"/>
    <w:rsid w:val="41D75714"/>
    <w:rsid w:val="41D76705"/>
    <w:rsid w:val="41DD3BC3"/>
    <w:rsid w:val="41DE47A6"/>
    <w:rsid w:val="41E0049A"/>
    <w:rsid w:val="41E94833"/>
    <w:rsid w:val="41E974A1"/>
    <w:rsid w:val="41EE2F03"/>
    <w:rsid w:val="41F466FD"/>
    <w:rsid w:val="41F62234"/>
    <w:rsid w:val="41FA1D1A"/>
    <w:rsid w:val="42002BC7"/>
    <w:rsid w:val="42026B03"/>
    <w:rsid w:val="420D197F"/>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7F5525"/>
    <w:rsid w:val="42810107"/>
    <w:rsid w:val="4283283B"/>
    <w:rsid w:val="42901043"/>
    <w:rsid w:val="429B5404"/>
    <w:rsid w:val="429F4CDE"/>
    <w:rsid w:val="42A03D98"/>
    <w:rsid w:val="42A2144A"/>
    <w:rsid w:val="42A56A3F"/>
    <w:rsid w:val="42A729F1"/>
    <w:rsid w:val="42A866F4"/>
    <w:rsid w:val="42AD119C"/>
    <w:rsid w:val="42B561EC"/>
    <w:rsid w:val="42B94BC1"/>
    <w:rsid w:val="42C30254"/>
    <w:rsid w:val="42C42A08"/>
    <w:rsid w:val="42C769E7"/>
    <w:rsid w:val="42D064B1"/>
    <w:rsid w:val="42D35ABF"/>
    <w:rsid w:val="42D41F6D"/>
    <w:rsid w:val="42DC1028"/>
    <w:rsid w:val="42DC26BC"/>
    <w:rsid w:val="42DE48A3"/>
    <w:rsid w:val="42E16058"/>
    <w:rsid w:val="42E94F55"/>
    <w:rsid w:val="42ED3497"/>
    <w:rsid w:val="42F17BF5"/>
    <w:rsid w:val="42F2044D"/>
    <w:rsid w:val="42F8776E"/>
    <w:rsid w:val="42F87EC9"/>
    <w:rsid w:val="42FA45BF"/>
    <w:rsid w:val="430A753E"/>
    <w:rsid w:val="430E7E66"/>
    <w:rsid w:val="431E1BAC"/>
    <w:rsid w:val="43233302"/>
    <w:rsid w:val="43254465"/>
    <w:rsid w:val="4332317A"/>
    <w:rsid w:val="433246A0"/>
    <w:rsid w:val="433327FD"/>
    <w:rsid w:val="433F6B54"/>
    <w:rsid w:val="4346543A"/>
    <w:rsid w:val="434B65FD"/>
    <w:rsid w:val="43533E29"/>
    <w:rsid w:val="435B1259"/>
    <w:rsid w:val="435C61C5"/>
    <w:rsid w:val="436263D5"/>
    <w:rsid w:val="437556C4"/>
    <w:rsid w:val="43874CD4"/>
    <w:rsid w:val="439B699F"/>
    <w:rsid w:val="43A531D9"/>
    <w:rsid w:val="43AF2533"/>
    <w:rsid w:val="43AF2D32"/>
    <w:rsid w:val="43B45922"/>
    <w:rsid w:val="43B7275B"/>
    <w:rsid w:val="43B76E4F"/>
    <w:rsid w:val="43CF0206"/>
    <w:rsid w:val="43D85D6D"/>
    <w:rsid w:val="43D96ED1"/>
    <w:rsid w:val="43E32604"/>
    <w:rsid w:val="43EC6F1F"/>
    <w:rsid w:val="43F655BC"/>
    <w:rsid w:val="43FE44BA"/>
    <w:rsid w:val="440D5045"/>
    <w:rsid w:val="440F6C97"/>
    <w:rsid w:val="44300615"/>
    <w:rsid w:val="44371929"/>
    <w:rsid w:val="443740AF"/>
    <w:rsid w:val="443C61BB"/>
    <w:rsid w:val="44441194"/>
    <w:rsid w:val="44480935"/>
    <w:rsid w:val="444851FA"/>
    <w:rsid w:val="445873A3"/>
    <w:rsid w:val="445E4DEE"/>
    <w:rsid w:val="4462059E"/>
    <w:rsid w:val="44635CDA"/>
    <w:rsid w:val="44640994"/>
    <w:rsid w:val="446B0434"/>
    <w:rsid w:val="44756A66"/>
    <w:rsid w:val="447A208F"/>
    <w:rsid w:val="447E4EBE"/>
    <w:rsid w:val="447F0CBA"/>
    <w:rsid w:val="448226F3"/>
    <w:rsid w:val="44901E7E"/>
    <w:rsid w:val="44957F46"/>
    <w:rsid w:val="44994CF5"/>
    <w:rsid w:val="449F21F7"/>
    <w:rsid w:val="44A72A1B"/>
    <w:rsid w:val="44BD3BD6"/>
    <w:rsid w:val="44C173F8"/>
    <w:rsid w:val="44CC46BA"/>
    <w:rsid w:val="44D334A1"/>
    <w:rsid w:val="44DC46EB"/>
    <w:rsid w:val="44DF1B8D"/>
    <w:rsid w:val="44E8312D"/>
    <w:rsid w:val="44EA6491"/>
    <w:rsid w:val="44F03F8F"/>
    <w:rsid w:val="44F14ECF"/>
    <w:rsid w:val="44F5220D"/>
    <w:rsid w:val="451837D5"/>
    <w:rsid w:val="451A120C"/>
    <w:rsid w:val="45275172"/>
    <w:rsid w:val="45306C84"/>
    <w:rsid w:val="45332511"/>
    <w:rsid w:val="453F44DA"/>
    <w:rsid w:val="45412391"/>
    <w:rsid w:val="45412C46"/>
    <w:rsid w:val="45415434"/>
    <w:rsid w:val="454316E5"/>
    <w:rsid w:val="45440AD0"/>
    <w:rsid w:val="454A3E13"/>
    <w:rsid w:val="45514AD5"/>
    <w:rsid w:val="4552412E"/>
    <w:rsid w:val="45575091"/>
    <w:rsid w:val="455908C0"/>
    <w:rsid w:val="457002F0"/>
    <w:rsid w:val="45743BE6"/>
    <w:rsid w:val="4575513B"/>
    <w:rsid w:val="45761EDD"/>
    <w:rsid w:val="45773005"/>
    <w:rsid w:val="457A7286"/>
    <w:rsid w:val="457B06AA"/>
    <w:rsid w:val="457C7D39"/>
    <w:rsid w:val="458667C4"/>
    <w:rsid w:val="458F5163"/>
    <w:rsid w:val="45940009"/>
    <w:rsid w:val="459405E3"/>
    <w:rsid w:val="459C5A47"/>
    <w:rsid w:val="45A5284F"/>
    <w:rsid w:val="45A82F38"/>
    <w:rsid w:val="45AC19CC"/>
    <w:rsid w:val="45B047D1"/>
    <w:rsid w:val="45B16962"/>
    <w:rsid w:val="45B86B4C"/>
    <w:rsid w:val="45BE6191"/>
    <w:rsid w:val="45BE648C"/>
    <w:rsid w:val="45C661BC"/>
    <w:rsid w:val="45CA082F"/>
    <w:rsid w:val="45CD2126"/>
    <w:rsid w:val="45CD75F1"/>
    <w:rsid w:val="45D2713B"/>
    <w:rsid w:val="45DD738A"/>
    <w:rsid w:val="45DF61DC"/>
    <w:rsid w:val="45E372CD"/>
    <w:rsid w:val="45ED64C7"/>
    <w:rsid w:val="45F83AA7"/>
    <w:rsid w:val="45FB2D6A"/>
    <w:rsid w:val="460C5979"/>
    <w:rsid w:val="460F1C96"/>
    <w:rsid w:val="460F2A0E"/>
    <w:rsid w:val="461031DC"/>
    <w:rsid w:val="46110AB3"/>
    <w:rsid w:val="46143B66"/>
    <w:rsid w:val="4615371C"/>
    <w:rsid w:val="461C2728"/>
    <w:rsid w:val="461D3EDA"/>
    <w:rsid w:val="462066D5"/>
    <w:rsid w:val="46214325"/>
    <w:rsid w:val="463246EC"/>
    <w:rsid w:val="463425D3"/>
    <w:rsid w:val="463A3547"/>
    <w:rsid w:val="463F2211"/>
    <w:rsid w:val="4643383C"/>
    <w:rsid w:val="464514F3"/>
    <w:rsid w:val="46496045"/>
    <w:rsid w:val="464B28C8"/>
    <w:rsid w:val="464E0973"/>
    <w:rsid w:val="46555DC3"/>
    <w:rsid w:val="46560D65"/>
    <w:rsid w:val="465901BC"/>
    <w:rsid w:val="46617DB2"/>
    <w:rsid w:val="46621065"/>
    <w:rsid w:val="46665198"/>
    <w:rsid w:val="46697236"/>
    <w:rsid w:val="46770F8B"/>
    <w:rsid w:val="467C16FA"/>
    <w:rsid w:val="467C28B2"/>
    <w:rsid w:val="46831AE2"/>
    <w:rsid w:val="46894B18"/>
    <w:rsid w:val="469448C6"/>
    <w:rsid w:val="46953B12"/>
    <w:rsid w:val="469965DF"/>
    <w:rsid w:val="469A1E62"/>
    <w:rsid w:val="46A95479"/>
    <w:rsid w:val="46AB0067"/>
    <w:rsid w:val="46AD4E32"/>
    <w:rsid w:val="46B80AF8"/>
    <w:rsid w:val="46D37F0B"/>
    <w:rsid w:val="46D71533"/>
    <w:rsid w:val="46E53335"/>
    <w:rsid w:val="46ED5319"/>
    <w:rsid w:val="46FF5C70"/>
    <w:rsid w:val="47155D89"/>
    <w:rsid w:val="473069AF"/>
    <w:rsid w:val="473E4AD0"/>
    <w:rsid w:val="474A0EAF"/>
    <w:rsid w:val="474E50BE"/>
    <w:rsid w:val="47502F40"/>
    <w:rsid w:val="4766041A"/>
    <w:rsid w:val="47690F71"/>
    <w:rsid w:val="47696F9C"/>
    <w:rsid w:val="47714F1F"/>
    <w:rsid w:val="47725A17"/>
    <w:rsid w:val="47770512"/>
    <w:rsid w:val="477D3243"/>
    <w:rsid w:val="477F6C5D"/>
    <w:rsid w:val="478301A8"/>
    <w:rsid w:val="478821A1"/>
    <w:rsid w:val="479128A9"/>
    <w:rsid w:val="47961E9D"/>
    <w:rsid w:val="47975EDC"/>
    <w:rsid w:val="47983B19"/>
    <w:rsid w:val="47A3609D"/>
    <w:rsid w:val="47B337EE"/>
    <w:rsid w:val="47B52288"/>
    <w:rsid w:val="47C01792"/>
    <w:rsid w:val="47C57A48"/>
    <w:rsid w:val="47D511BD"/>
    <w:rsid w:val="47DB65F6"/>
    <w:rsid w:val="47DD11F5"/>
    <w:rsid w:val="47ED307F"/>
    <w:rsid w:val="47FB79EE"/>
    <w:rsid w:val="48020DE8"/>
    <w:rsid w:val="4808150F"/>
    <w:rsid w:val="480F51A8"/>
    <w:rsid w:val="48241969"/>
    <w:rsid w:val="48256B1B"/>
    <w:rsid w:val="482714E0"/>
    <w:rsid w:val="48282713"/>
    <w:rsid w:val="483914BE"/>
    <w:rsid w:val="484417FA"/>
    <w:rsid w:val="48450ECE"/>
    <w:rsid w:val="4847567D"/>
    <w:rsid w:val="484759CD"/>
    <w:rsid w:val="484B14EC"/>
    <w:rsid w:val="485A1E43"/>
    <w:rsid w:val="48602710"/>
    <w:rsid w:val="48713351"/>
    <w:rsid w:val="487620DF"/>
    <w:rsid w:val="48802846"/>
    <w:rsid w:val="488260F9"/>
    <w:rsid w:val="48850157"/>
    <w:rsid w:val="48873072"/>
    <w:rsid w:val="48916C74"/>
    <w:rsid w:val="48916F56"/>
    <w:rsid w:val="4892478F"/>
    <w:rsid w:val="48971227"/>
    <w:rsid w:val="48A736CF"/>
    <w:rsid w:val="48A779B9"/>
    <w:rsid w:val="48B116EA"/>
    <w:rsid w:val="48B74C7A"/>
    <w:rsid w:val="48BE32BF"/>
    <w:rsid w:val="48C354EC"/>
    <w:rsid w:val="48C4559B"/>
    <w:rsid w:val="48C61172"/>
    <w:rsid w:val="48C71A5A"/>
    <w:rsid w:val="48D429DD"/>
    <w:rsid w:val="48E01C77"/>
    <w:rsid w:val="48E22285"/>
    <w:rsid w:val="48E50D90"/>
    <w:rsid w:val="48EB0D16"/>
    <w:rsid w:val="48FA15CC"/>
    <w:rsid w:val="4916605C"/>
    <w:rsid w:val="491B63DF"/>
    <w:rsid w:val="491D63E9"/>
    <w:rsid w:val="4920610E"/>
    <w:rsid w:val="492B6F05"/>
    <w:rsid w:val="4932285C"/>
    <w:rsid w:val="4937272B"/>
    <w:rsid w:val="4937722C"/>
    <w:rsid w:val="49384E02"/>
    <w:rsid w:val="493E2F78"/>
    <w:rsid w:val="494049CC"/>
    <w:rsid w:val="49411EAF"/>
    <w:rsid w:val="495217DF"/>
    <w:rsid w:val="49572F75"/>
    <w:rsid w:val="49574B5B"/>
    <w:rsid w:val="4958367A"/>
    <w:rsid w:val="495A044A"/>
    <w:rsid w:val="49622D7B"/>
    <w:rsid w:val="49642CB3"/>
    <w:rsid w:val="497110D5"/>
    <w:rsid w:val="497206BF"/>
    <w:rsid w:val="497A5B7B"/>
    <w:rsid w:val="497C7C92"/>
    <w:rsid w:val="498817B3"/>
    <w:rsid w:val="498A16CD"/>
    <w:rsid w:val="49997D51"/>
    <w:rsid w:val="499C7517"/>
    <w:rsid w:val="499E07E8"/>
    <w:rsid w:val="49A14359"/>
    <w:rsid w:val="49A33C27"/>
    <w:rsid w:val="49A40172"/>
    <w:rsid w:val="49A750B5"/>
    <w:rsid w:val="49AB1A6B"/>
    <w:rsid w:val="49BE07DA"/>
    <w:rsid w:val="49C62636"/>
    <w:rsid w:val="49C84AA0"/>
    <w:rsid w:val="49CE3923"/>
    <w:rsid w:val="49CF11BE"/>
    <w:rsid w:val="49D625E5"/>
    <w:rsid w:val="49D7694D"/>
    <w:rsid w:val="49E234CC"/>
    <w:rsid w:val="49EC3531"/>
    <w:rsid w:val="49EF319B"/>
    <w:rsid w:val="49F152D3"/>
    <w:rsid w:val="49F8312B"/>
    <w:rsid w:val="49FE46F2"/>
    <w:rsid w:val="4A0244D3"/>
    <w:rsid w:val="4A0B3920"/>
    <w:rsid w:val="4A121195"/>
    <w:rsid w:val="4A255046"/>
    <w:rsid w:val="4A276433"/>
    <w:rsid w:val="4A2E1525"/>
    <w:rsid w:val="4A3D3E88"/>
    <w:rsid w:val="4A4A538E"/>
    <w:rsid w:val="4A5A756D"/>
    <w:rsid w:val="4A5E7C7E"/>
    <w:rsid w:val="4A722B4C"/>
    <w:rsid w:val="4A785772"/>
    <w:rsid w:val="4A801258"/>
    <w:rsid w:val="4A842E43"/>
    <w:rsid w:val="4A845C50"/>
    <w:rsid w:val="4A89105B"/>
    <w:rsid w:val="4AA341CC"/>
    <w:rsid w:val="4AA939F9"/>
    <w:rsid w:val="4AB21F2E"/>
    <w:rsid w:val="4AB25A4D"/>
    <w:rsid w:val="4AC13295"/>
    <w:rsid w:val="4AC31003"/>
    <w:rsid w:val="4AC40F4C"/>
    <w:rsid w:val="4ACC44B7"/>
    <w:rsid w:val="4AD25F33"/>
    <w:rsid w:val="4ADD641F"/>
    <w:rsid w:val="4ADF3B16"/>
    <w:rsid w:val="4AE072CB"/>
    <w:rsid w:val="4AE1398C"/>
    <w:rsid w:val="4AE93159"/>
    <w:rsid w:val="4AE951C1"/>
    <w:rsid w:val="4AF02EA1"/>
    <w:rsid w:val="4AF8693E"/>
    <w:rsid w:val="4AF86E0A"/>
    <w:rsid w:val="4B174032"/>
    <w:rsid w:val="4B227C49"/>
    <w:rsid w:val="4B250CF8"/>
    <w:rsid w:val="4B2873FD"/>
    <w:rsid w:val="4B2E0668"/>
    <w:rsid w:val="4B3C6133"/>
    <w:rsid w:val="4B3D4DE9"/>
    <w:rsid w:val="4B7727E1"/>
    <w:rsid w:val="4B7C4100"/>
    <w:rsid w:val="4B830F9B"/>
    <w:rsid w:val="4B8325F3"/>
    <w:rsid w:val="4B8A54FE"/>
    <w:rsid w:val="4B8F2DD0"/>
    <w:rsid w:val="4B9B06E8"/>
    <w:rsid w:val="4B9B0C47"/>
    <w:rsid w:val="4B9D4011"/>
    <w:rsid w:val="4BA96B70"/>
    <w:rsid w:val="4BB36BDD"/>
    <w:rsid w:val="4BB60507"/>
    <w:rsid w:val="4BC32290"/>
    <w:rsid w:val="4BC954D6"/>
    <w:rsid w:val="4BD0339A"/>
    <w:rsid w:val="4BD41FD1"/>
    <w:rsid w:val="4BF23C29"/>
    <w:rsid w:val="4BF32495"/>
    <w:rsid w:val="4BF4712C"/>
    <w:rsid w:val="4BF838F0"/>
    <w:rsid w:val="4BFA3FA2"/>
    <w:rsid w:val="4C065916"/>
    <w:rsid w:val="4C096C71"/>
    <w:rsid w:val="4C1269A9"/>
    <w:rsid w:val="4C1A51CC"/>
    <w:rsid w:val="4C285D45"/>
    <w:rsid w:val="4C2910DF"/>
    <w:rsid w:val="4C2B4DDD"/>
    <w:rsid w:val="4C3743A5"/>
    <w:rsid w:val="4C3C6B23"/>
    <w:rsid w:val="4C521E0D"/>
    <w:rsid w:val="4C562817"/>
    <w:rsid w:val="4C562920"/>
    <w:rsid w:val="4C5D1F92"/>
    <w:rsid w:val="4C603F16"/>
    <w:rsid w:val="4C6262E0"/>
    <w:rsid w:val="4C6703A3"/>
    <w:rsid w:val="4C696BB7"/>
    <w:rsid w:val="4C6A0682"/>
    <w:rsid w:val="4C6D7518"/>
    <w:rsid w:val="4C777E2A"/>
    <w:rsid w:val="4C87603B"/>
    <w:rsid w:val="4C923A72"/>
    <w:rsid w:val="4C9B5631"/>
    <w:rsid w:val="4CB836A9"/>
    <w:rsid w:val="4CB96B0F"/>
    <w:rsid w:val="4CBD582C"/>
    <w:rsid w:val="4CC82D24"/>
    <w:rsid w:val="4CC85443"/>
    <w:rsid w:val="4CCF2CDE"/>
    <w:rsid w:val="4CD32F17"/>
    <w:rsid w:val="4CD84F4C"/>
    <w:rsid w:val="4CE31EA9"/>
    <w:rsid w:val="4CE34E9F"/>
    <w:rsid w:val="4CF52D94"/>
    <w:rsid w:val="4CFB6ABE"/>
    <w:rsid w:val="4CFE5028"/>
    <w:rsid w:val="4D0B5968"/>
    <w:rsid w:val="4D110527"/>
    <w:rsid w:val="4D19368B"/>
    <w:rsid w:val="4D462159"/>
    <w:rsid w:val="4D47409F"/>
    <w:rsid w:val="4D525BE3"/>
    <w:rsid w:val="4D566017"/>
    <w:rsid w:val="4D6022FC"/>
    <w:rsid w:val="4D695FF9"/>
    <w:rsid w:val="4D7D3EFB"/>
    <w:rsid w:val="4D826E0A"/>
    <w:rsid w:val="4D866DE7"/>
    <w:rsid w:val="4D8B0123"/>
    <w:rsid w:val="4D931B47"/>
    <w:rsid w:val="4D9E6E1B"/>
    <w:rsid w:val="4DAF14C5"/>
    <w:rsid w:val="4DB9067A"/>
    <w:rsid w:val="4DC605B6"/>
    <w:rsid w:val="4DCA5DBC"/>
    <w:rsid w:val="4DCB146F"/>
    <w:rsid w:val="4DD732D2"/>
    <w:rsid w:val="4DEC0985"/>
    <w:rsid w:val="4DF85277"/>
    <w:rsid w:val="4E024AB6"/>
    <w:rsid w:val="4E0538A3"/>
    <w:rsid w:val="4E0E6818"/>
    <w:rsid w:val="4E27683A"/>
    <w:rsid w:val="4E321D35"/>
    <w:rsid w:val="4E397241"/>
    <w:rsid w:val="4E4B2B03"/>
    <w:rsid w:val="4E4C50A3"/>
    <w:rsid w:val="4E510698"/>
    <w:rsid w:val="4E53406F"/>
    <w:rsid w:val="4E576363"/>
    <w:rsid w:val="4E5D49B1"/>
    <w:rsid w:val="4E635567"/>
    <w:rsid w:val="4E674786"/>
    <w:rsid w:val="4E6E0A65"/>
    <w:rsid w:val="4E742982"/>
    <w:rsid w:val="4E7F1E8F"/>
    <w:rsid w:val="4E7F5AF4"/>
    <w:rsid w:val="4E862481"/>
    <w:rsid w:val="4E9C0636"/>
    <w:rsid w:val="4E9D29FB"/>
    <w:rsid w:val="4EA22C4C"/>
    <w:rsid w:val="4EA30DB6"/>
    <w:rsid w:val="4EA52243"/>
    <w:rsid w:val="4EA7341F"/>
    <w:rsid w:val="4EAA2B1D"/>
    <w:rsid w:val="4EB327C5"/>
    <w:rsid w:val="4EC445EA"/>
    <w:rsid w:val="4EDB58B2"/>
    <w:rsid w:val="4EDD1619"/>
    <w:rsid w:val="4EE925CE"/>
    <w:rsid w:val="4EEA44EB"/>
    <w:rsid w:val="4EEB1A94"/>
    <w:rsid w:val="4EEF2E30"/>
    <w:rsid w:val="4EF24828"/>
    <w:rsid w:val="4EFB7E91"/>
    <w:rsid w:val="4EFE7F59"/>
    <w:rsid w:val="4F1137C6"/>
    <w:rsid w:val="4F23603C"/>
    <w:rsid w:val="4F285975"/>
    <w:rsid w:val="4F2A7BF3"/>
    <w:rsid w:val="4F2E2624"/>
    <w:rsid w:val="4F38184E"/>
    <w:rsid w:val="4F416513"/>
    <w:rsid w:val="4F4E1077"/>
    <w:rsid w:val="4F546156"/>
    <w:rsid w:val="4F7C5525"/>
    <w:rsid w:val="4F7E74BF"/>
    <w:rsid w:val="4F844A99"/>
    <w:rsid w:val="4F863785"/>
    <w:rsid w:val="4F9214FD"/>
    <w:rsid w:val="4F940C12"/>
    <w:rsid w:val="4F94662C"/>
    <w:rsid w:val="4FB00163"/>
    <w:rsid w:val="4FB208E7"/>
    <w:rsid w:val="4FBF4BE3"/>
    <w:rsid w:val="4FDA6E7F"/>
    <w:rsid w:val="4FE30332"/>
    <w:rsid w:val="4FE70BB4"/>
    <w:rsid w:val="4FE73C01"/>
    <w:rsid w:val="4FE87C31"/>
    <w:rsid w:val="4FF14DCF"/>
    <w:rsid w:val="4FF85C93"/>
    <w:rsid w:val="50070D86"/>
    <w:rsid w:val="500815B6"/>
    <w:rsid w:val="500B39BC"/>
    <w:rsid w:val="500E7DCA"/>
    <w:rsid w:val="50163074"/>
    <w:rsid w:val="501939DF"/>
    <w:rsid w:val="502173F8"/>
    <w:rsid w:val="5022123F"/>
    <w:rsid w:val="50254423"/>
    <w:rsid w:val="502B7315"/>
    <w:rsid w:val="5035213F"/>
    <w:rsid w:val="503E570B"/>
    <w:rsid w:val="503E79CC"/>
    <w:rsid w:val="503F32CF"/>
    <w:rsid w:val="5041152A"/>
    <w:rsid w:val="50487D3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105169B"/>
    <w:rsid w:val="51062881"/>
    <w:rsid w:val="510861B3"/>
    <w:rsid w:val="510956BD"/>
    <w:rsid w:val="511556F1"/>
    <w:rsid w:val="512116D2"/>
    <w:rsid w:val="51230220"/>
    <w:rsid w:val="51471753"/>
    <w:rsid w:val="514773FD"/>
    <w:rsid w:val="514C513A"/>
    <w:rsid w:val="514E4912"/>
    <w:rsid w:val="515400FF"/>
    <w:rsid w:val="515D735D"/>
    <w:rsid w:val="515F7989"/>
    <w:rsid w:val="51623850"/>
    <w:rsid w:val="517418CD"/>
    <w:rsid w:val="51781A83"/>
    <w:rsid w:val="51802CA0"/>
    <w:rsid w:val="51867298"/>
    <w:rsid w:val="51894D69"/>
    <w:rsid w:val="518D21E1"/>
    <w:rsid w:val="51930297"/>
    <w:rsid w:val="51953936"/>
    <w:rsid w:val="519E116A"/>
    <w:rsid w:val="51A105FC"/>
    <w:rsid w:val="51A2793A"/>
    <w:rsid w:val="51AD2B9C"/>
    <w:rsid w:val="51BA0CB7"/>
    <w:rsid w:val="51C41A0B"/>
    <w:rsid w:val="51C44E20"/>
    <w:rsid w:val="51CF2D5C"/>
    <w:rsid w:val="51D129CA"/>
    <w:rsid w:val="51D93F8A"/>
    <w:rsid w:val="51DC16DA"/>
    <w:rsid w:val="51E5046A"/>
    <w:rsid w:val="51E7409C"/>
    <w:rsid w:val="52020133"/>
    <w:rsid w:val="520222D8"/>
    <w:rsid w:val="52272B85"/>
    <w:rsid w:val="52284E31"/>
    <w:rsid w:val="523E09B5"/>
    <w:rsid w:val="52687B2A"/>
    <w:rsid w:val="526E0E82"/>
    <w:rsid w:val="527901C6"/>
    <w:rsid w:val="5280431E"/>
    <w:rsid w:val="528A0579"/>
    <w:rsid w:val="528F4A24"/>
    <w:rsid w:val="52944BB6"/>
    <w:rsid w:val="529E721A"/>
    <w:rsid w:val="52A24532"/>
    <w:rsid w:val="52B3363A"/>
    <w:rsid w:val="52B668EB"/>
    <w:rsid w:val="52B91E49"/>
    <w:rsid w:val="52C4763C"/>
    <w:rsid w:val="52DE691D"/>
    <w:rsid w:val="52E04D27"/>
    <w:rsid w:val="52E16254"/>
    <w:rsid w:val="52E501E0"/>
    <w:rsid w:val="52EC1518"/>
    <w:rsid w:val="52ED0C96"/>
    <w:rsid w:val="52F53FAD"/>
    <w:rsid w:val="53061721"/>
    <w:rsid w:val="530C0E6B"/>
    <w:rsid w:val="530D1C98"/>
    <w:rsid w:val="531A5380"/>
    <w:rsid w:val="531F0245"/>
    <w:rsid w:val="53227B62"/>
    <w:rsid w:val="532F77EA"/>
    <w:rsid w:val="53305814"/>
    <w:rsid w:val="53367575"/>
    <w:rsid w:val="533933AA"/>
    <w:rsid w:val="533B7F54"/>
    <w:rsid w:val="535009E1"/>
    <w:rsid w:val="535321C1"/>
    <w:rsid w:val="53650168"/>
    <w:rsid w:val="536662B9"/>
    <w:rsid w:val="536C2A29"/>
    <w:rsid w:val="53863C94"/>
    <w:rsid w:val="538859E4"/>
    <w:rsid w:val="538E3092"/>
    <w:rsid w:val="5398565C"/>
    <w:rsid w:val="539F394B"/>
    <w:rsid w:val="53A20FFA"/>
    <w:rsid w:val="53A233E4"/>
    <w:rsid w:val="53A94C48"/>
    <w:rsid w:val="53AA7BC7"/>
    <w:rsid w:val="53AE5EA5"/>
    <w:rsid w:val="53AF1E0C"/>
    <w:rsid w:val="53B00B1F"/>
    <w:rsid w:val="53B2409D"/>
    <w:rsid w:val="53B31E73"/>
    <w:rsid w:val="53B66A75"/>
    <w:rsid w:val="53C50290"/>
    <w:rsid w:val="53D4734B"/>
    <w:rsid w:val="53D6247A"/>
    <w:rsid w:val="53DB3477"/>
    <w:rsid w:val="53DE00FF"/>
    <w:rsid w:val="53E77CBF"/>
    <w:rsid w:val="53E92771"/>
    <w:rsid w:val="53F16BC7"/>
    <w:rsid w:val="53FE7128"/>
    <w:rsid w:val="541E7DB0"/>
    <w:rsid w:val="54201800"/>
    <w:rsid w:val="54247F22"/>
    <w:rsid w:val="542C29CD"/>
    <w:rsid w:val="542F1551"/>
    <w:rsid w:val="54321466"/>
    <w:rsid w:val="54381756"/>
    <w:rsid w:val="545524FD"/>
    <w:rsid w:val="545750B7"/>
    <w:rsid w:val="545A1EBF"/>
    <w:rsid w:val="545E1779"/>
    <w:rsid w:val="54625C01"/>
    <w:rsid w:val="54727478"/>
    <w:rsid w:val="54835E71"/>
    <w:rsid w:val="5496423C"/>
    <w:rsid w:val="5497051D"/>
    <w:rsid w:val="549725F0"/>
    <w:rsid w:val="54A0619E"/>
    <w:rsid w:val="54A068B8"/>
    <w:rsid w:val="54AB65DC"/>
    <w:rsid w:val="54B06F11"/>
    <w:rsid w:val="54B56DF4"/>
    <w:rsid w:val="54B65BF8"/>
    <w:rsid w:val="54B93943"/>
    <w:rsid w:val="54BE5578"/>
    <w:rsid w:val="54BF52B5"/>
    <w:rsid w:val="54D029B2"/>
    <w:rsid w:val="54D202CA"/>
    <w:rsid w:val="54D54E59"/>
    <w:rsid w:val="54DD41DB"/>
    <w:rsid w:val="54E0050A"/>
    <w:rsid w:val="54E358FF"/>
    <w:rsid w:val="54EC0C85"/>
    <w:rsid w:val="54ED3D78"/>
    <w:rsid w:val="54F52BA3"/>
    <w:rsid w:val="54F54E04"/>
    <w:rsid w:val="54F62BF2"/>
    <w:rsid w:val="54FA5E39"/>
    <w:rsid w:val="550B4121"/>
    <w:rsid w:val="550D5CFC"/>
    <w:rsid w:val="550F3357"/>
    <w:rsid w:val="55126CC5"/>
    <w:rsid w:val="55197997"/>
    <w:rsid w:val="551B6FFD"/>
    <w:rsid w:val="551B7F0A"/>
    <w:rsid w:val="551C7446"/>
    <w:rsid w:val="55276C59"/>
    <w:rsid w:val="552864FA"/>
    <w:rsid w:val="552A6B56"/>
    <w:rsid w:val="55317553"/>
    <w:rsid w:val="5532385A"/>
    <w:rsid w:val="55371339"/>
    <w:rsid w:val="55381D42"/>
    <w:rsid w:val="55401B14"/>
    <w:rsid w:val="554748F2"/>
    <w:rsid w:val="554D414C"/>
    <w:rsid w:val="554E7279"/>
    <w:rsid w:val="55516A9E"/>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175E36"/>
    <w:rsid w:val="5632642A"/>
    <w:rsid w:val="56375B61"/>
    <w:rsid w:val="564944F4"/>
    <w:rsid w:val="564D4C5B"/>
    <w:rsid w:val="564E5820"/>
    <w:rsid w:val="56594C9E"/>
    <w:rsid w:val="565E7F86"/>
    <w:rsid w:val="56630C00"/>
    <w:rsid w:val="56687250"/>
    <w:rsid w:val="567739D2"/>
    <w:rsid w:val="56775A0A"/>
    <w:rsid w:val="567F6E75"/>
    <w:rsid w:val="5686536D"/>
    <w:rsid w:val="568B1DB1"/>
    <w:rsid w:val="568E534B"/>
    <w:rsid w:val="569600BA"/>
    <w:rsid w:val="56A55214"/>
    <w:rsid w:val="56A67978"/>
    <w:rsid w:val="56A80039"/>
    <w:rsid w:val="56AC63C5"/>
    <w:rsid w:val="56B701F5"/>
    <w:rsid w:val="56C008D5"/>
    <w:rsid w:val="56C1700B"/>
    <w:rsid w:val="56C34302"/>
    <w:rsid w:val="56C35508"/>
    <w:rsid w:val="56D25618"/>
    <w:rsid w:val="56D5793F"/>
    <w:rsid w:val="56D7644B"/>
    <w:rsid w:val="56D90809"/>
    <w:rsid w:val="56E84A97"/>
    <w:rsid w:val="56FB2A68"/>
    <w:rsid w:val="56FE1A50"/>
    <w:rsid w:val="57011F3E"/>
    <w:rsid w:val="5705646B"/>
    <w:rsid w:val="57060649"/>
    <w:rsid w:val="571A1955"/>
    <w:rsid w:val="572657E3"/>
    <w:rsid w:val="5732705F"/>
    <w:rsid w:val="57351D6F"/>
    <w:rsid w:val="57454F4D"/>
    <w:rsid w:val="57466C3E"/>
    <w:rsid w:val="574F4CF2"/>
    <w:rsid w:val="576476C1"/>
    <w:rsid w:val="576F457F"/>
    <w:rsid w:val="57724CC0"/>
    <w:rsid w:val="57770501"/>
    <w:rsid w:val="577B3337"/>
    <w:rsid w:val="577D4F28"/>
    <w:rsid w:val="577D7163"/>
    <w:rsid w:val="5782068C"/>
    <w:rsid w:val="57877FD2"/>
    <w:rsid w:val="578F4D33"/>
    <w:rsid w:val="57996949"/>
    <w:rsid w:val="57A120DC"/>
    <w:rsid w:val="57A33734"/>
    <w:rsid w:val="57AA7D16"/>
    <w:rsid w:val="57AB6ADD"/>
    <w:rsid w:val="57AC2A28"/>
    <w:rsid w:val="57B15BDB"/>
    <w:rsid w:val="57B7178E"/>
    <w:rsid w:val="57B76EED"/>
    <w:rsid w:val="57BD72A7"/>
    <w:rsid w:val="57BE5838"/>
    <w:rsid w:val="57D16146"/>
    <w:rsid w:val="57D82354"/>
    <w:rsid w:val="57EB3AC0"/>
    <w:rsid w:val="57EB6DC4"/>
    <w:rsid w:val="57F30CE9"/>
    <w:rsid w:val="57FC07D9"/>
    <w:rsid w:val="57FD7F73"/>
    <w:rsid w:val="57FF6992"/>
    <w:rsid w:val="58017314"/>
    <w:rsid w:val="5808013E"/>
    <w:rsid w:val="580B408B"/>
    <w:rsid w:val="580F1B21"/>
    <w:rsid w:val="58191E63"/>
    <w:rsid w:val="581B7E79"/>
    <w:rsid w:val="58265D9B"/>
    <w:rsid w:val="582B7162"/>
    <w:rsid w:val="58325C2F"/>
    <w:rsid w:val="58465DA1"/>
    <w:rsid w:val="58500F22"/>
    <w:rsid w:val="58510734"/>
    <w:rsid w:val="58527FAB"/>
    <w:rsid w:val="58587379"/>
    <w:rsid w:val="586D57A3"/>
    <w:rsid w:val="587917A0"/>
    <w:rsid w:val="587924B3"/>
    <w:rsid w:val="587A4288"/>
    <w:rsid w:val="587B662F"/>
    <w:rsid w:val="5880052B"/>
    <w:rsid w:val="588E76C9"/>
    <w:rsid w:val="589571D3"/>
    <w:rsid w:val="58AD27D9"/>
    <w:rsid w:val="58AD42B1"/>
    <w:rsid w:val="58B169A2"/>
    <w:rsid w:val="58B6512E"/>
    <w:rsid w:val="58B9636C"/>
    <w:rsid w:val="58C37133"/>
    <w:rsid w:val="58C93046"/>
    <w:rsid w:val="58CF7431"/>
    <w:rsid w:val="58D36BCB"/>
    <w:rsid w:val="58D643B4"/>
    <w:rsid w:val="58D7351E"/>
    <w:rsid w:val="58E6349C"/>
    <w:rsid w:val="58EF63EE"/>
    <w:rsid w:val="58F51D24"/>
    <w:rsid w:val="590317F0"/>
    <w:rsid w:val="59075000"/>
    <w:rsid w:val="591878D4"/>
    <w:rsid w:val="592A35DE"/>
    <w:rsid w:val="59334D9B"/>
    <w:rsid w:val="593559FD"/>
    <w:rsid w:val="594079B2"/>
    <w:rsid w:val="59410047"/>
    <w:rsid w:val="594B10BF"/>
    <w:rsid w:val="594E7013"/>
    <w:rsid w:val="59522196"/>
    <w:rsid w:val="596726D9"/>
    <w:rsid w:val="596833A7"/>
    <w:rsid w:val="596A688E"/>
    <w:rsid w:val="59835A6C"/>
    <w:rsid w:val="59843114"/>
    <w:rsid w:val="5987482A"/>
    <w:rsid w:val="598C6F19"/>
    <w:rsid w:val="59931352"/>
    <w:rsid w:val="599B1691"/>
    <w:rsid w:val="599C49A8"/>
    <w:rsid w:val="59A04DAD"/>
    <w:rsid w:val="59A36725"/>
    <w:rsid w:val="59B21BF9"/>
    <w:rsid w:val="59BA46A2"/>
    <w:rsid w:val="59BB12EB"/>
    <w:rsid w:val="59BB4EA3"/>
    <w:rsid w:val="59CF48AD"/>
    <w:rsid w:val="59E9525B"/>
    <w:rsid w:val="59EE2F1B"/>
    <w:rsid w:val="59F01484"/>
    <w:rsid w:val="59F31D20"/>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E6670"/>
    <w:rsid w:val="5A912613"/>
    <w:rsid w:val="5A923F1B"/>
    <w:rsid w:val="5A9245E9"/>
    <w:rsid w:val="5A953D41"/>
    <w:rsid w:val="5A9A4D4B"/>
    <w:rsid w:val="5A9B495D"/>
    <w:rsid w:val="5AA956F8"/>
    <w:rsid w:val="5AB633E6"/>
    <w:rsid w:val="5AB7018B"/>
    <w:rsid w:val="5ABC50F4"/>
    <w:rsid w:val="5AC772C5"/>
    <w:rsid w:val="5ACC4940"/>
    <w:rsid w:val="5AD66153"/>
    <w:rsid w:val="5AD86A6D"/>
    <w:rsid w:val="5AE62B68"/>
    <w:rsid w:val="5AE954C2"/>
    <w:rsid w:val="5AEA6146"/>
    <w:rsid w:val="5AEA6A34"/>
    <w:rsid w:val="5AEB6320"/>
    <w:rsid w:val="5AEC14F6"/>
    <w:rsid w:val="5AF124A4"/>
    <w:rsid w:val="5AF551C8"/>
    <w:rsid w:val="5AFB639C"/>
    <w:rsid w:val="5B141085"/>
    <w:rsid w:val="5B28192B"/>
    <w:rsid w:val="5B32616A"/>
    <w:rsid w:val="5B342BAD"/>
    <w:rsid w:val="5B4007EF"/>
    <w:rsid w:val="5B495A92"/>
    <w:rsid w:val="5B4D1F7C"/>
    <w:rsid w:val="5B564EFB"/>
    <w:rsid w:val="5B583BEB"/>
    <w:rsid w:val="5B6667A3"/>
    <w:rsid w:val="5B66707B"/>
    <w:rsid w:val="5B673066"/>
    <w:rsid w:val="5B690719"/>
    <w:rsid w:val="5B6A48A8"/>
    <w:rsid w:val="5B6B40B1"/>
    <w:rsid w:val="5B731FA9"/>
    <w:rsid w:val="5B785E83"/>
    <w:rsid w:val="5B7A6387"/>
    <w:rsid w:val="5B7C1CD1"/>
    <w:rsid w:val="5B8437D1"/>
    <w:rsid w:val="5B882E2D"/>
    <w:rsid w:val="5B887691"/>
    <w:rsid w:val="5B9004A9"/>
    <w:rsid w:val="5B907C6C"/>
    <w:rsid w:val="5B9251EF"/>
    <w:rsid w:val="5BAB5BC4"/>
    <w:rsid w:val="5BB20B74"/>
    <w:rsid w:val="5BC677D8"/>
    <w:rsid w:val="5BC82981"/>
    <w:rsid w:val="5BD91F40"/>
    <w:rsid w:val="5BE15701"/>
    <w:rsid w:val="5BE6235A"/>
    <w:rsid w:val="5BEB0120"/>
    <w:rsid w:val="5BEC175C"/>
    <w:rsid w:val="5C097C4E"/>
    <w:rsid w:val="5C0D717D"/>
    <w:rsid w:val="5C1A3A93"/>
    <w:rsid w:val="5C1C16CF"/>
    <w:rsid w:val="5C235386"/>
    <w:rsid w:val="5C277EFF"/>
    <w:rsid w:val="5C395BED"/>
    <w:rsid w:val="5C3A76D7"/>
    <w:rsid w:val="5C3B6CFC"/>
    <w:rsid w:val="5C3C1AE5"/>
    <w:rsid w:val="5C414DE8"/>
    <w:rsid w:val="5C4A34F9"/>
    <w:rsid w:val="5C4C2CF4"/>
    <w:rsid w:val="5C5A7F10"/>
    <w:rsid w:val="5C6422CD"/>
    <w:rsid w:val="5C6B1600"/>
    <w:rsid w:val="5C766DED"/>
    <w:rsid w:val="5C7D70D1"/>
    <w:rsid w:val="5C8542A8"/>
    <w:rsid w:val="5C9F41E0"/>
    <w:rsid w:val="5CA6294E"/>
    <w:rsid w:val="5CA92DD2"/>
    <w:rsid w:val="5CAC6214"/>
    <w:rsid w:val="5CAF2FDA"/>
    <w:rsid w:val="5CBA57B4"/>
    <w:rsid w:val="5CCB7CD8"/>
    <w:rsid w:val="5CDA07E3"/>
    <w:rsid w:val="5CDB241D"/>
    <w:rsid w:val="5CDB3358"/>
    <w:rsid w:val="5CDE73BD"/>
    <w:rsid w:val="5CEC6CAF"/>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27C36"/>
    <w:rsid w:val="5D28584C"/>
    <w:rsid w:val="5D2F4802"/>
    <w:rsid w:val="5D3444E6"/>
    <w:rsid w:val="5D3E0DC1"/>
    <w:rsid w:val="5D3F0BDF"/>
    <w:rsid w:val="5D4A529A"/>
    <w:rsid w:val="5D5B7098"/>
    <w:rsid w:val="5D5C4098"/>
    <w:rsid w:val="5D634782"/>
    <w:rsid w:val="5D654194"/>
    <w:rsid w:val="5D676A87"/>
    <w:rsid w:val="5D6A7C12"/>
    <w:rsid w:val="5D6E1B86"/>
    <w:rsid w:val="5D725A84"/>
    <w:rsid w:val="5D767D63"/>
    <w:rsid w:val="5D787085"/>
    <w:rsid w:val="5D7A0862"/>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1835"/>
    <w:rsid w:val="5E237029"/>
    <w:rsid w:val="5E306876"/>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921A45"/>
    <w:rsid w:val="5E975993"/>
    <w:rsid w:val="5EA06C69"/>
    <w:rsid w:val="5EA627AF"/>
    <w:rsid w:val="5EB07A41"/>
    <w:rsid w:val="5EB51FDE"/>
    <w:rsid w:val="5EB826AC"/>
    <w:rsid w:val="5EBA4472"/>
    <w:rsid w:val="5EC3227D"/>
    <w:rsid w:val="5ECA2293"/>
    <w:rsid w:val="5ECA3D37"/>
    <w:rsid w:val="5EE153F8"/>
    <w:rsid w:val="5EED7893"/>
    <w:rsid w:val="5EFB2125"/>
    <w:rsid w:val="5EFB6F0A"/>
    <w:rsid w:val="5F0279C4"/>
    <w:rsid w:val="5F043765"/>
    <w:rsid w:val="5F0A3A61"/>
    <w:rsid w:val="5F1232DB"/>
    <w:rsid w:val="5F1E1D1D"/>
    <w:rsid w:val="5F28007C"/>
    <w:rsid w:val="5F3370DF"/>
    <w:rsid w:val="5F351942"/>
    <w:rsid w:val="5F395DFE"/>
    <w:rsid w:val="5F3B6ED3"/>
    <w:rsid w:val="5F40399D"/>
    <w:rsid w:val="5F45020C"/>
    <w:rsid w:val="5F495527"/>
    <w:rsid w:val="5F5D4AA6"/>
    <w:rsid w:val="5F683B6E"/>
    <w:rsid w:val="5F875C0C"/>
    <w:rsid w:val="5F8F0B9E"/>
    <w:rsid w:val="5F8F267A"/>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83392"/>
    <w:rsid w:val="601A4CB1"/>
    <w:rsid w:val="601B56CB"/>
    <w:rsid w:val="602847CB"/>
    <w:rsid w:val="602C0637"/>
    <w:rsid w:val="602C236D"/>
    <w:rsid w:val="603514E5"/>
    <w:rsid w:val="603967D7"/>
    <w:rsid w:val="603D3325"/>
    <w:rsid w:val="604040A8"/>
    <w:rsid w:val="60415A07"/>
    <w:rsid w:val="60443CFE"/>
    <w:rsid w:val="60470CE3"/>
    <w:rsid w:val="604743E7"/>
    <w:rsid w:val="604B148A"/>
    <w:rsid w:val="6057218F"/>
    <w:rsid w:val="60576284"/>
    <w:rsid w:val="605F4F5D"/>
    <w:rsid w:val="606711B4"/>
    <w:rsid w:val="60673C40"/>
    <w:rsid w:val="606A52D4"/>
    <w:rsid w:val="607C3753"/>
    <w:rsid w:val="60895CED"/>
    <w:rsid w:val="608A554D"/>
    <w:rsid w:val="608D1D4E"/>
    <w:rsid w:val="608D7975"/>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DB2053"/>
    <w:rsid w:val="60E06DEB"/>
    <w:rsid w:val="60E41009"/>
    <w:rsid w:val="60E51841"/>
    <w:rsid w:val="60E7738A"/>
    <w:rsid w:val="60F90C00"/>
    <w:rsid w:val="61110088"/>
    <w:rsid w:val="61186D8B"/>
    <w:rsid w:val="6121108E"/>
    <w:rsid w:val="61421EFD"/>
    <w:rsid w:val="61457124"/>
    <w:rsid w:val="61507CAF"/>
    <w:rsid w:val="615C5041"/>
    <w:rsid w:val="61631B5D"/>
    <w:rsid w:val="617874FC"/>
    <w:rsid w:val="617A6EE7"/>
    <w:rsid w:val="617E7C88"/>
    <w:rsid w:val="61813BF8"/>
    <w:rsid w:val="6182260C"/>
    <w:rsid w:val="61996169"/>
    <w:rsid w:val="619B60ED"/>
    <w:rsid w:val="61A773BF"/>
    <w:rsid w:val="61AD68BC"/>
    <w:rsid w:val="61AE5BE1"/>
    <w:rsid w:val="61B173D2"/>
    <w:rsid w:val="61CB2F35"/>
    <w:rsid w:val="61D43510"/>
    <w:rsid w:val="61D43A2B"/>
    <w:rsid w:val="61E34474"/>
    <w:rsid w:val="61E91E7B"/>
    <w:rsid w:val="61FF316E"/>
    <w:rsid w:val="621542CB"/>
    <w:rsid w:val="62172EDA"/>
    <w:rsid w:val="62363666"/>
    <w:rsid w:val="623E513D"/>
    <w:rsid w:val="623F0B7F"/>
    <w:rsid w:val="624263A2"/>
    <w:rsid w:val="625272C3"/>
    <w:rsid w:val="625C216F"/>
    <w:rsid w:val="6260007B"/>
    <w:rsid w:val="626C6A69"/>
    <w:rsid w:val="626F629C"/>
    <w:rsid w:val="62715337"/>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F05276"/>
    <w:rsid w:val="62F6011A"/>
    <w:rsid w:val="62FD2BA9"/>
    <w:rsid w:val="630C6A8F"/>
    <w:rsid w:val="63115115"/>
    <w:rsid w:val="6327422B"/>
    <w:rsid w:val="6328597C"/>
    <w:rsid w:val="632F2F8E"/>
    <w:rsid w:val="63314C2A"/>
    <w:rsid w:val="633B249F"/>
    <w:rsid w:val="63552D76"/>
    <w:rsid w:val="6359778B"/>
    <w:rsid w:val="635B63E3"/>
    <w:rsid w:val="63654417"/>
    <w:rsid w:val="636A48AB"/>
    <w:rsid w:val="638C3395"/>
    <w:rsid w:val="63927E66"/>
    <w:rsid w:val="639C2AFB"/>
    <w:rsid w:val="63A163DD"/>
    <w:rsid w:val="63B82D87"/>
    <w:rsid w:val="63BA3154"/>
    <w:rsid w:val="63C948C4"/>
    <w:rsid w:val="63CA2E8B"/>
    <w:rsid w:val="63D4153E"/>
    <w:rsid w:val="63DC7755"/>
    <w:rsid w:val="63E05970"/>
    <w:rsid w:val="63E43D21"/>
    <w:rsid w:val="63E97377"/>
    <w:rsid w:val="63EA4DF9"/>
    <w:rsid w:val="63F47D2A"/>
    <w:rsid w:val="63FC2733"/>
    <w:rsid w:val="63FE2D33"/>
    <w:rsid w:val="64046427"/>
    <w:rsid w:val="641461CF"/>
    <w:rsid w:val="64195948"/>
    <w:rsid w:val="641A3F4C"/>
    <w:rsid w:val="64202F9E"/>
    <w:rsid w:val="64211FFA"/>
    <w:rsid w:val="64264A79"/>
    <w:rsid w:val="64290161"/>
    <w:rsid w:val="642D0D23"/>
    <w:rsid w:val="64304E58"/>
    <w:rsid w:val="64311867"/>
    <w:rsid w:val="64391ED3"/>
    <w:rsid w:val="64426B0C"/>
    <w:rsid w:val="6445632E"/>
    <w:rsid w:val="644D3D02"/>
    <w:rsid w:val="645C7EA7"/>
    <w:rsid w:val="64742B63"/>
    <w:rsid w:val="647E661E"/>
    <w:rsid w:val="647E786B"/>
    <w:rsid w:val="648939AA"/>
    <w:rsid w:val="64897A59"/>
    <w:rsid w:val="648C635C"/>
    <w:rsid w:val="64927F4F"/>
    <w:rsid w:val="649B1AC2"/>
    <w:rsid w:val="64A7467B"/>
    <w:rsid w:val="64B53322"/>
    <w:rsid w:val="64C61AF8"/>
    <w:rsid w:val="64C70058"/>
    <w:rsid w:val="64C86505"/>
    <w:rsid w:val="64EC5D31"/>
    <w:rsid w:val="64F132B2"/>
    <w:rsid w:val="64FE700F"/>
    <w:rsid w:val="6500327F"/>
    <w:rsid w:val="6506609B"/>
    <w:rsid w:val="65083216"/>
    <w:rsid w:val="6508621E"/>
    <w:rsid w:val="65092761"/>
    <w:rsid w:val="651E3B1A"/>
    <w:rsid w:val="65223BFC"/>
    <w:rsid w:val="652E6EAE"/>
    <w:rsid w:val="653300A4"/>
    <w:rsid w:val="65460728"/>
    <w:rsid w:val="655A04C2"/>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C327C6"/>
    <w:rsid w:val="65D21E90"/>
    <w:rsid w:val="65D23D59"/>
    <w:rsid w:val="65D4773F"/>
    <w:rsid w:val="65D83403"/>
    <w:rsid w:val="65DC5939"/>
    <w:rsid w:val="65DC7985"/>
    <w:rsid w:val="65E671BD"/>
    <w:rsid w:val="65F14641"/>
    <w:rsid w:val="65F22E66"/>
    <w:rsid w:val="65F5655C"/>
    <w:rsid w:val="65F64F18"/>
    <w:rsid w:val="66052F43"/>
    <w:rsid w:val="6609487E"/>
    <w:rsid w:val="66143184"/>
    <w:rsid w:val="661D25CE"/>
    <w:rsid w:val="66206CF2"/>
    <w:rsid w:val="66237368"/>
    <w:rsid w:val="66244029"/>
    <w:rsid w:val="66265846"/>
    <w:rsid w:val="66287C9C"/>
    <w:rsid w:val="662D4566"/>
    <w:rsid w:val="662E4097"/>
    <w:rsid w:val="664470E3"/>
    <w:rsid w:val="66475F5D"/>
    <w:rsid w:val="664805B8"/>
    <w:rsid w:val="665572E9"/>
    <w:rsid w:val="665A078F"/>
    <w:rsid w:val="665B55EA"/>
    <w:rsid w:val="66641D58"/>
    <w:rsid w:val="66655F85"/>
    <w:rsid w:val="667C7AEC"/>
    <w:rsid w:val="66847466"/>
    <w:rsid w:val="66863A0F"/>
    <w:rsid w:val="668D465E"/>
    <w:rsid w:val="66984358"/>
    <w:rsid w:val="669903D3"/>
    <w:rsid w:val="669A2640"/>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3F43"/>
    <w:rsid w:val="66F256A0"/>
    <w:rsid w:val="66F759A4"/>
    <w:rsid w:val="6700407C"/>
    <w:rsid w:val="670260F2"/>
    <w:rsid w:val="670C215E"/>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8B08E7"/>
    <w:rsid w:val="67914BE1"/>
    <w:rsid w:val="67984863"/>
    <w:rsid w:val="67A01F16"/>
    <w:rsid w:val="67B163D1"/>
    <w:rsid w:val="67C136F2"/>
    <w:rsid w:val="67CA69AB"/>
    <w:rsid w:val="67E26789"/>
    <w:rsid w:val="67EF299C"/>
    <w:rsid w:val="67F45538"/>
    <w:rsid w:val="67F66B9D"/>
    <w:rsid w:val="680239EB"/>
    <w:rsid w:val="680722DA"/>
    <w:rsid w:val="6809309C"/>
    <w:rsid w:val="68120E37"/>
    <w:rsid w:val="681306CB"/>
    <w:rsid w:val="6813679E"/>
    <w:rsid w:val="682211D1"/>
    <w:rsid w:val="68253783"/>
    <w:rsid w:val="684167D2"/>
    <w:rsid w:val="684B40A8"/>
    <w:rsid w:val="685B4737"/>
    <w:rsid w:val="685C6395"/>
    <w:rsid w:val="686318DD"/>
    <w:rsid w:val="68635145"/>
    <w:rsid w:val="687F607E"/>
    <w:rsid w:val="688C4213"/>
    <w:rsid w:val="688D4D1E"/>
    <w:rsid w:val="68916B30"/>
    <w:rsid w:val="68950378"/>
    <w:rsid w:val="68984999"/>
    <w:rsid w:val="689A41FB"/>
    <w:rsid w:val="689C2BAE"/>
    <w:rsid w:val="689C6AEE"/>
    <w:rsid w:val="689E57F0"/>
    <w:rsid w:val="68A34C5C"/>
    <w:rsid w:val="68B44788"/>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4DB5"/>
    <w:rsid w:val="69895442"/>
    <w:rsid w:val="698C13C5"/>
    <w:rsid w:val="69BC3ADF"/>
    <w:rsid w:val="69D306AC"/>
    <w:rsid w:val="69D34F66"/>
    <w:rsid w:val="69E00E47"/>
    <w:rsid w:val="69EC1B4D"/>
    <w:rsid w:val="69EC6D9F"/>
    <w:rsid w:val="69F0745A"/>
    <w:rsid w:val="69F66961"/>
    <w:rsid w:val="6A0961EA"/>
    <w:rsid w:val="6A0D20F2"/>
    <w:rsid w:val="6A0D2F74"/>
    <w:rsid w:val="6A1742A1"/>
    <w:rsid w:val="6A1C4CE3"/>
    <w:rsid w:val="6A1D59EC"/>
    <w:rsid w:val="6A2353D4"/>
    <w:rsid w:val="6A247F72"/>
    <w:rsid w:val="6A3E2393"/>
    <w:rsid w:val="6A435B92"/>
    <w:rsid w:val="6A444DB8"/>
    <w:rsid w:val="6A4D4828"/>
    <w:rsid w:val="6A4D6D96"/>
    <w:rsid w:val="6A516AC3"/>
    <w:rsid w:val="6A5303BA"/>
    <w:rsid w:val="6A5F3F1C"/>
    <w:rsid w:val="6A677080"/>
    <w:rsid w:val="6A6C5C1E"/>
    <w:rsid w:val="6A6C67AF"/>
    <w:rsid w:val="6A711183"/>
    <w:rsid w:val="6A7468D5"/>
    <w:rsid w:val="6A790E3A"/>
    <w:rsid w:val="6A7B4B9C"/>
    <w:rsid w:val="6A84768F"/>
    <w:rsid w:val="6A917541"/>
    <w:rsid w:val="6A9C00F5"/>
    <w:rsid w:val="6AA35330"/>
    <w:rsid w:val="6AAC0B91"/>
    <w:rsid w:val="6AAF014C"/>
    <w:rsid w:val="6AC07690"/>
    <w:rsid w:val="6ACB082B"/>
    <w:rsid w:val="6AD3247E"/>
    <w:rsid w:val="6AD716BA"/>
    <w:rsid w:val="6AE21187"/>
    <w:rsid w:val="6AE4699C"/>
    <w:rsid w:val="6AF124EA"/>
    <w:rsid w:val="6AF317C6"/>
    <w:rsid w:val="6AF64D9A"/>
    <w:rsid w:val="6B09696B"/>
    <w:rsid w:val="6B0A6575"/>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A6663C"/>
    <w:rsid w:val="6BA9194F"/>
    <w:rsid w:val="6BB6799B"/>
    <w:rsid w:val="6BB81A6C"/>
    <w:rsid w:val="6BCF6F5D"/>
    <w:rsid w:val="6BE51CE3"/>
    <w:rsid w:val="6BE622E5"/>
    <w:rsid w:val="6BE727F5"/>
    <w:rsid w:val="6BEC459F"/>
    <w:rsid w:val="6C0858B3"/>
    <w:rsid w:val="6C1134DA"/>
    <w:rsid w:val="6C240DF3"/>
    <w:rsid w:val="6C2C422A"/>
    <w:rsid w:val="6C2E290E"/>
    <w:rsid w:val="6C3F5AA0"/>
    <w:rsid w:val="6C41527C"/>
    <w:rsid w:val="6C45610F"/>
    <w:rsid w:val="6C550EC6"/>
    <w:rsid w:val="6C59472D"/>
    <w:rsid w:val="6C5A4564"/>
    <w:rsid w:val="6C5E0510"/>
    <w:rsid w:val="6C603744"/>
    <w:rsid w:val="6C610784"/>
    <w:rsid w:val="6C637CCF"/>
    <w:rsid w:val="6C6A15BA"/>
    <w:rsid w:val="6C731C6C"/>
    <w:rsid w:val="6C733992"/>
    <w:rsid w:val="6C7802EB"/>
    <w:rsid w:val="6C89456C"/>
    <w:rsid w:val="6C9611B5"/>
    <w:rsid w:val="6CA20D5B"/>
    <w:rsid w:val="6CA60496"/>
    <w:rsid w:val="6CB71894"/>
    <w:rsid w:val="6CBB58FB"/>
    <w:rsid w:val="6CC535EE"/>
    <w:rsid w:val="6CD431E3"/>
    <w:rsid w:val="6CD50C99"/>
    <w:rsid w:val="6CD63FB3"/>
    <w:rsid w:val="6CDC3EA7"/>
    <w:rsid w:val="6CDD06CC"/>
    <w:rsid w:val="6CDF2E4F"/>
    <w:rsid w:val="6CFE035F"/>
    <w:rsid w:val="6CFF5623"/>
    <w:rsid w:val="6D056EA6"/>
    <w:rsid w:val="6D13119B"/>
    <w:rsid w:val="6D1766A9"/>
    <w:rsid w:val="6D221E52"/>
    <w:rsid w:val="6D227835"/>
    <w:rsid w:val="6D2663D9"/>
    <w:rsid w:val="6D2834C8"/>
    <w:rsid w:val="6D2F1F0B"/>
    <w:rsid w:val="6D3C1A93"/>
    <w:rsid w:val="6D3C6626"/>
    <w:rsid w:val="6D3E495C"/>
    <w:rsid w:val="6D456747"/>
    <w:rsid w:val="6D5D0DB5"/>
    <w:rsid w:val="6D6855B1"/>
    <w:rsid w:val="6D7B4AB7"/>
    <w:rsid w:val="6D836C02"/>
    <w:rsid w:val="6D874AC3"/>
    <w:rsid w:val="6D89784B"/>
    <w:rsid w:val="6D9057BE"/>
    <w:rsid w:val="6D944897"/>
    <w:rsid w:val="6D9E0566"/>
    <w:rsid w:val="6DB10625"/>
    <w:rsid w:val="6DBE7F27"/>
    <w:rsid w:val="6DC441C8"/>
    <w:rsid w:val="6DCF21B6"/>
    <w:rsid w:val="6DD13295"/>
    <w:rsid w:val="6DD62CAD"/>
    <w:rsid w:val="6DD753C4"/>
    <w:rsid w:val="6DDC3A4A"/>
    <w:rsid w:val="6DDC5249"/>
    <w:rsid w:val="6DF43BD4"/>
    <w:rsid w:val="6E0E1FAB"/>
    <w:rsid w:val="6E0F2F9F"/>
    <w:rsid w:val="6E1D22B5"/>
    <w:rsid w:val="6E2143FB"/>
    <w:rsid w:val="6E2241BE"/>
    <w:rsid w:val="6E235490"/>
    <w:rsid w:val="6E317378"/>
    <w:rsid w:val="6E35795C"/>
    <w:rsid w:val="6E374904"/>
    <w:rsid w:val="6E3C077F"/>
    <w:rsid w:val="6E3E5591"/>
    <w:rsid w:val="6E3F7F57"/>
    <w:rsid w:val="6E4215C6"/>
    <w:rsid w:val="6E437F76"/>
    <w:rsid w:val="6E4B0158"/>
    <w:rsid w:val="6E4D611F"/>
    <w:rsid w:val="6E541F70"/>
    <w:rsid w:val="6E567C9E"/>
    <w:rsid w:val="6E574242"/>
    <w:rsid w:val="6E635028"/>
    <w:rsid w:val="6E636A71"/>
    <w:rsid w:val="6E685B0A"/>
    <w:rsid w:val="6E6C7503"/>
    <w:rsid w:val="6E6C7BFA"/>
    <w:rsid w:val="6E73404A"/>
    <w:rsid w:val="6E7355AA"/>
    <w:rsid w:val="6E7C0353"/>
    <w:rsid w:val="6E7D300B"/>
    <w:rsid w:val="6E823708"/>
    <w:rsid w:val="6E915C20"/>
    <w:rsid w:val="6E920B3F"/>
    <w:rsid w:val="6E920B5B"/>
    <w:rsid w:val="6E990B16"/>
    <w:rsid w:val="6EAC6424"/>
    <w:rsid w:val="6EB169D3"/>
    <w:rsid w:val="6EB21539"/>
    <w:rsid w:val="6EB32B21"/>
    <w:rsid w:val="6EB829B1"/>
    <w:rsid w:val="6EB978A9"/>
    <w:rsid w:val="6EBE4B08"/>
    <w:rsid w:val="6EC45F46"/>
    <w:rsid w:val="6ECC3A24"/>
    <w:rsid w:val="6ECD7C9F"/>
    <w:rsid w:val="6ED0689A"/>
    <w:rsid w:val="6ED86D3E"/>
    <w:rsid w:val="6EE32120"/>
    <w:rsid w:val="6EE9744F"/>
    <w:rsid w:val="6EEC3F7C"/>
    <w:rsid w:val="6EF302F5"/>
    <w:rsid w:val="6EF3602C"/>
    <w:rsid w:val="6EFE1485"/>
    <w:rsid w:val="6F031F8E"/>
    <w:rsid w:val="6F0D382C"/>
    <w:rsid w:val="6F0F0878"/>
    <w:rsid w:val="6F1D250A"/>
    <w:rsid w:val="6F2632E8"/>
    <w:rsid w:val="6F30363A"/>
    <w:rsid w:val="6F3316E5"/>
    <w:rsid w:val="6F3F40F9"/>
    <w:rsid w:val="6F5E0205"/>
    <w:rsid w:val="6F5F15C8"/>
    <w:rsid w:val="6F5F4FCB"/>
    <w:rsid w:val="6F6F14E1"/>
    <w:rsid w:val="6F781191"/>
    <w:rsid w:val="6F86160F"/>
    <w:rsid w:val="6F884D8A"/>
    <w:rsid w:val="6F89712B"/>
    <w:rsid w:val="6F9831D1"/>
    <w:rsid w:val="6F983C13"/>
    <w:rsid w:val="6FA629D4"/>
    <w:rsid w:val="6FA75ADB"/>
    <w:rsid w:val="6FAF2E30"/>
    <w:rsid w:val="6FB72056"/>
    <w:rsid w:val="6FB77ED4"/>
    <w:rsid w:val="6FBD4D2F"/>
    <w:rsid w:val="6FBF4710"/>
    <w:rsid w:val="6FC9109F"/>
    <w:rsid w:val="6FDB518F"/>
    <w:rsid w:val="6FE00B3B"/>
    <w:rsid w:val="6FE529ED"/>
    <w:rsid w:val="6FF1529D"/>
    <w:rsid w:val="6FF517E6"/>
    <w:rsid w:val="6FF733A7"/>
    <w:rsid w:val="70003DD9"/>
    <w:rsid w:val="70072915"/>
    <w:rsid w:val="700C6021"/>
    <w:rsid w:val="70141417"/>
    <w:rsid w:val="70172090"/>
    <w:rsid w:val="70195E88"/>
    <w:rsid w:val="701D43BA"/>
    <w:rsid w:val="702A5D87"/>
    <w:rsid w:val="702B6F43"/>
    <w:rsid w:val="7030429F"/>
    <w:rsid w:val="7032079E"/>
    <w:rsid w:val="70375C5A"/>
    <w:rsid w:val="703947D7"/>
    <w:rsid w:val="703C186A"/>
    <w:rsid w:val="704C0CB8"/>
    <w:rsid w:val="70570007"/>
    <w:rsid w:val="705843B4"/>
    <w:rsid w:val="706417AF"/>
    <w:rsid w:val="70655A58"/>
    <w:rsid w:val="707263E0"/>
    <w:rsid w:val="70822A24"/>
    <w:rsid w:val="70822BAD"/>
    <w:rsid w:val="708257A7"/>
    <w:rsid w:val="708746BC"/>
    <w:rsid w:val="708F7F54"/>
    <w:rsid w:val="709B1025"/>
    <w:rsid w:val="709E3D85"/>
    <w:rsid w:val="70A36A35"/>
    <w:rsid w:val="70AA32C8"/>
    <w:rsid w:val="70AC660B"/>
    <w:rsid w:val="70AD73C5"/>
    <w:rsid w:val="70B17138"/>
    <w:rsid w:val="70BB2EF0"/>
    <w:rsid w:val="70BC2801"/>
    <w:rsid w:val="70C6646C"/>
    <w:rsid w:val="70D71463"/>
    <w:rsid w:val="70E936CD"/>
    <w:rsid w:val="70EE2F9A"/>
    <w:rsid w:val="70FA6D60"/>
    <w:rsid w:val="70FC2D1E"/>
    <w:rsid w:val="70FE1851"/>
    <w:rsid w:val="71015D6B"/>
    <w:rsid w:val="71063CBF"/>
    <w:rsid w:val="71115386"/>
    <w:rsid w:val="71151975"/>
    <w:rsid w:val="71220857"/>
    <w:rsid w:val="71222C53"/>
    <w:rsid w:val="71336A65"/>
    <w:rsid w:val="71411A70"/>
    <w:rsid w:val="71477682"/>
    <w:rsid w:val="71545B37"/>
    <w:rsid w:val="71566018"/>
    <w:rsid w:val="71570E43"/>
    <w:rsid w:val="71573E01"/>
    <w:rsid w:val="71702748"/>
    <w:rsid w:val="71862E8D"/>
    <w:rsid w:val="71867894"/>
    <w:rsid w:val="718B0CD8"/>
    <w:rsid w:val="719F7A78"/>
    <w:rsid w:val="71A73EB4"/>
    <w:rsid w:val="71B25E63"/>
    <w:rsid w:val="71B30ACA"/>
    <w:rsid w:val="71B623F6"/>
    <w:rsid w:val="71C7540C"/>
    <w:rsid w:val="71D50389"/>
    <w:rsid w:val="71E41366"/>
    <w:rsid w:val="71ED2496"/>
    <w:rsid w:val="71F14FC5"/>
    <w:rsid w:val="71F64A63"/>
    <w:rsid w:val="71F870B8"/>
    <w:rsid w:val="7200001E"/>
    <w:rsid w:val="72021233"/>
    <w:rsid w:val="720B2A1D"/>
    <w:rsid w:val="72147937"/>
    <w:rsid w:val="7217235D"/>
    <w:rsid w:val="72175F5D"/>
    <w:rsid w:val="721968C4"/>
    <w:rsid w:val="72346B55"/>
    <w:rsid w:val="723959DC"/>
    <w:rsid w:val="723E7E80"/>
    <w:rsid w:val="724B5FB3"/>
    <w:rsid w:val="724C3314"/>
    <w:rsid w:val="72502F9F"/>
    <w:rsid w:val="72514753"/>
    <w:rsid w:val="72524B90"/>
    <w:rsid w:val="725349C5"/>
    <w:rsid w:val="725817D3"/>
    <w:rsid w:val="725B3685"/>
    <w:rsid w:val="726E6AD4"/>
    <w:rsid w:val="727C422C"/>
    <w:rsid w:val="727C7861"/>
    <w:rsid w:val="727D5DD0"/>
    <w:rsid w:val="728B6773"/>
    <w:rsid w:val="728C198E"/>
    <w:rsid w:val="728E71EE"/>
    <w:rsid w:val="7292045A"/>
    <w:rsid w:val="72971387"/>
    <w:rsid w:val="72974DBE"/>
    <w:rsid w:val="729F42EC"/>
    <w:rsid w:val="72A20C20"/>
    <w:rsid w:val="72AC5E95"/>
    <w:rsid w:val="72B104F9"/>
    <w:rsid w:val="72B24C9A"/>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1B2C7C"/>
    <w:rsid w:val="732B736C"/>
    <w:rsid w:val="732C334F"/>
    <w:rsid w:val="73303587"/>
    <w:rsid w:val="733B069A"/>
    <w:rsid w:val="734F0C79"/>
    <w:rsid w:val="734F4185"/>
    <w:rsid w:val="73520620"/>
    <w:rsid w:val="7363274A"/>
    <w:rsid w:val="736462D9"/>
    <w:rsid w:val="73691A4A"/>
    <w:rsid w:val="737025EA"/>
    <w:rsid w:val="7371152B"/>
    <w:rsid w:val="73736DAC"/>
    <w:rsid w:val="73777B4D"/>
    <w:rsid w:val="737D6CF9"/>
    <w:rsid w:val="7383627D"/>
    <w:rsid w:val="73856458"/>
    <w:rsid w:val="738A6895"/>
    <w:rsid w:val="73917325"/>
    <w:rsid w:val="73950D2D"/>
    <w:rsid w:val="7395427D"/>
    <w:rsid w:val="739F1660"/>
    <w:rsid w:val="73B047C3"/>
    <w:rsid w:val="73B62302"/>
    <w:rsid w:val="73BB0F6D"/>
    <w:rsid w:val="73BC7089"/>
    <w:rsid w:val="73BE7067"/>
    <w:rsid w:val="73C34124"/>
    <w:rsid w:val="73DC33F5"/>
    <w:rsid w:val="73E406FD"/>
    <w:rsid w:val="73E52294"/>
    <w:rsid w:val="73EC5464"/>
    <w:rsid w:val="73F53A05"/>
    <w:rsid w:val="73FF2D64"/>
    <w:rsid w:val="740F108B"/>
    <w:rsid w:val="74137154"/>
    <w:rsid w:val="741C7D0C"/>
    <w:rsid w:val="741F2652"/>
    <w:rsid w:val="7421310D"/>
    <w:rsid w:val="74257F79"/>
    <w:rsid w:val="74273820"/>
    <w:rsid w:val="7427471C"/>
    <w:rsid w:val="74330EFD"/>
    <w:rsid w:val="74355B0B"/>
    <w:rsid w:val="743C7157"/>
    <w:rsid w:val="74416F54"/>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BF71FF"/>
    <w:rsid w:val="74C03187"/>
    <w:rsid w:val="74C06691"/>
    <w:rsid w:val="74D4082F"/>
    <w:rsid w:val="74DE6B05"/>
    <w:rsid w:val="74E4756E"/>
    <w:rsid w:val="74E86DF6"/>
    <w:rsid w:val="74EB43B2"/>
    <w:rsid w:val="74ED19FF"/>
    <w:rsid w:val="74F747A8"/>
    <w:rsid w:val="75084E8F"/>
    <w:rsid w:val="7509261E"/>
    <w:rsid w:val="750B5416"/>
    <w:rsid w:val="750F16AB"/>
    <w:rsid w:val="75202656"/>
    <w:rsid w:val="752231CE"/>
    <w:rsid w:val="7537255A"/>
    <w:rsid w:val="75396D51"/>
    <w:rsid w:val="75434B0A"/>
    <w:rsid w:val="755756D1"/>
    <w:rsid w:val="75581C92"/>
    <w:rsid w:val="75752B04"/>
    <w:rsid w:val="757D3665"/>
    <w:rsid w:val="758306CF"/>
    <w:rsid w:val="758910BB"/>
    <w:rsid w:val="7589482D"/>
    <w:rsid w:val="758A5AC3"/>
    <w:rsid w:val="75955DA9"/>
    <w:rsid w:val="75977910"/>
    <w:rsid w:val="759C00A8"/>
    <w:rsid w:val="759F2A35"/>
    <w:rsid w:val="75B15C41"/>
    <w:rsid w:val="75CC5191"/>
    <w:rsid w:val="75D12923"/>
    <w:rsid w:val="75E6623C"/>
    <w:rsid w:val="75EA364B"/>
    <w:rsid w:val="75F059EC"/>
    <w:rsid w:val="75F20996"/>
    <w:rsid w:val="75F93477"/>
    <w:rsid w:val="75F96973"/>
    <w:rsid w:val="75FE5FB4"/>
    <w:rsid w:val="76123E1D"/>
    <w:rsid w:val="761270F3"/>
    <w:rsid w:val="76225641"/>
    <w:rsid w:val="762A17C0"/>
    <w:rsid w:val="762E4274"/>
    <w:rsid w:val="762E6798"/>
    <w:rsid w:val="76387379"/>
    <w:rsid w:val="76425118"/>
    <w:rsid w:val="76473B19"/>
    <w:rsid w:val="7647727C"/>
    <w:rsid w:val="764838B9"/>
    <w:rsid w:val="764B15DA"/>
    <w:rsid w:val="764C09B4"/>
    <w:rsid w:val="764D4439"/>
    <w:rsid w:val="764F5A52"/>
    <w:rsid w:val="7651184F"/>
    <w:rsid w:val="765E2788"/>
    <w:rsid w:val="7662102D"/>
    <w:rsid w:val="76647980"/>
    <w:rsid w:val="766827E1"/>
    <w:rsid w:val="766A4A0D"/>
    <w:rsid w:val="76725A45"/>
    <w:rsid w:val="767D1978"/>
    <w:rsid w:val="768C454B"/>
    <w:rsid w:val="76910A96"/>
    <w:rsid w:val="7692667A"/>
    <w:rsid w:val="76982273"/>
    <w:rsid w:val="769A7352"/>
    <w:rsid w:val="76A177B8"/>
    <w:rsid w:val="76A52432"/>
    <w:rsid w:val="76A562BA"/>
    <w:rsid w:val="76AD2761"/>
    <w:rsid w:val="76B64E53"/>
    <w:rsid w:val="76B8001A"/>
    <w:rsid w:val="76B81599"/>
    <w:rsid w:val="76BB2F21"/>
    <w:rsid w:val="76BB47BC"/>
    <w:rsid w:val="76BC314A"/>
    <w:rsid w:val="76CF29D3"/>
    <w:rsid w:val="76E422FF"/>
    <w:rsid w:val="76EB7E51"/>
    <w:rsid w:val="76EC51FD"/>
    <w:rsid w:val="76F00AAF"/>
    <w:rsid w:val="76F04F33"/>
    <w:rsid w:val="76F21658"/>
    <w:rsid w:val="76F410B8"/>
    <w:rsid w:val="76F70779"/>
    <w:rsid w:val="77093EA9"/>
    <w:rsid w:val="770A1659"/>
    <w:rsid w:val="771B67DF"/>
    <w:rsid w:val="7721797B"/>
    <w:rsid w:val="77241319"/>
    <w:rsid w:val="77272CAB"/>
    <w:rsid w:val="772C0FCF"/>
    <w:rsid w:val="77335384"/>
    <w:rsid w:val="77410304"/>
    <w:rsid w:val="77451578"/>
    <w:rsid w:val="7750582F"/>
    <w:rsid w:val="77537908"/>
    <w:rsid w:val="77571758"/>
    <w:rsid w:val="77576666"/>
    <w:rsid w:val="775871DA"/>
    <w:rsid w:val="77591ED3"/>
    <w:rsid w:val="775C26D4"/>
    <w:rsid w:val="77623640"/>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C078B1"/>
    <w:rsid w:val="77CC21CA"/>
    <w:rsid w:val="77D44398"/>
    <w:rsid w:val="77D46EFC"/>
    <w:rsid w:val="77D967A7"/>
    <w:rsid w:val="77DE5E93"/>
    <w:rsid w:val="77E66E3C"/>
    <w:rsid w:val="77F3789A"/>
    <w:rsid w:val="780326B9"/>
    <w:rsid w:val="780332E5"/>
    <w:rsid w:val="78077B5A"/>
    <w:rsid w:val="78096FFD"/>
    <w:rsid w:val="782127F0"/>
    <w:rsid w:val="78271E5B"/>
    <w:rsid w:val="783201C2"/>
    <w:rsid w:val="7833711D"/>
    <w:rsid w:val="78391D4B"/>
    <w:rsid w:val="78460D63"/>
    <w:rsid w:val="78497C2E"/>
    <w:rsid w:val="78502D35"/>
    <w:rsid w:val="785051F3"/>
    <w:rsid w:val="7854087B"/>
    <w:rsid w:val="78615D54"/>
    <w:rsid w:val="786A4053"/>
    <w:rsid w:val="786C46DA"/>
    <w:rsid w:val="786D6D22"/>
    <w:rsid w:val="78782A0D"/>
    <w:rsid w:val="78785A2F"/>
    <w:rsid w:val="787B5060"/>
    <w:rsid w:val="787E0EB9"/>
    <w:rsid w:val="788720E7"/>
    <w:rsid w:val="789B58CF"/>
    <w:rsid w:val="78A90B04"/>
    <w:rsid w:val="78AE4507"/>
    <w:rsid w:val="78C26D70"/>
    <w:rsid w:val="78C53485"/>
    <w:rsid w:val="78C6693F"/>
    <w:rsid w:val="78C76A01"/>
    <w:rsid w:val="78D508BC"/>
    <w:rsid w:val="78D6764B"/>
    <w:rsid w:val="78DF3BEC"/>
    <w:rsid w:val="78EC45D8"/>
    <w:rsid w:val="78EC6DF0"/>
    <w:rsid w:val="78F5335B"/>
    <w:rsid w:val="78F77CA2"/>
    <w:rsid w:val="78FF35BE"/>
    <w:rsid w:val="790E39D2"/>
    <w:rsid w:val="790F432D"/>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7307CE"/>
    <w:rsid w:val="79804706"/>
    <w:rsid w:val="79807AE3"/>
    <w:rsid w:val="7988227D"/>
    <w:rsid w:val="79941CF2"/>
    <w:rsid w:val="79973382"/>
    <w:rsid w:val="79B03E5E"/>
    <w:rsid w:val="79B4353E"/>
    <w:rsid w:val="79BA71B9"/>
    <w:rsid w:val="79BB4445"/>
    <w:rsid w:val="79C76124"/>
    <w:rsid w:val="79D33056"/>
    <w:rsid w:val="79D715DF"/>
    <w:rsid w:val="79DE4E5E"/>
    <w:rsid w:val="79E14685"/>
    <w:rsid w:val="79EC0256"/>
    <w:rsid w:val="79F60153"/>
    <w:rsid w:val="79F84570"/>
    <w:rsid w:val="79FA77AD"/>
    <w:rsid w:val="79FB6E2C"/>
    <w:rsid w:val="7A0E2780"/>
    <w:rsid w:val="7A29263F"/>
    <w:rsid w:val="7A36322F"/>
    <w:rsid w:val="7A4B21AB"/>
    <w:rsid w:val="7A4C2D60"/>
    <w:rsid w:val="7A4E5365"/>
    <w:rsid w:val="7A5C5095"/>
    <w:rsid w:val="7A5E0869"/>
    <w:rsid w:val="7A620F06"/>
    <w:rsid w:val="7A6E4BF5"/>
    <w:rsid w:val="7A78261A"/>
    <w:rsid w:val="7A851D5D"/>
    <w:rsid w:val="7A8A2267"/>
    <w:rsid w:val="7AA5314C"/>
    <w:rsid w:val="7AAF50F0"/>
    <w:rsid w:val="7AB53126"/>
    <w:rsid w:val="7AB76FE8"/>
    <w:rsid w:val="7ABA3AA8"/>
    <w:rsid w:val="7AC06271"/>
    <w:rsid w:val="7AC73DFD"/>
    <w:rsid w:val="7AD268E2"/>
    <w:rsid w:val="7ADC0B33"/>
    <w:rsid w:val="7ADF72B5"/>
    <w:rsid w:val="7AE14C19"/>
    <w:rsid w:val="7AEA174E"/>
    <w:rsid w:val="7AF1626C"/>
    <w:rsid w:val="7AF41F60"/>
    <w:rsid w:val="7B1633FD"/>
    <w:rsid w:val="7B231500"/>
    <w:rsid w:val="7B274176"/>
    <w:rsid w:val="7B276F1B"/>
    <w:rsid w:val="7B306163"/>
    <w:rsid w:val="7B31652B"/>
    <w:rsid w:val="7B3E17AA"/>
    <w:rsid w:val="7B401C79"/>
    <w:rsid w:val="7B440ED6"/>
    <w:rsid w:val="7B4678D7"/>
    <w:rsid w:val="7B4B2A93"/>
    <w:rsid w:val="7B527515"/>
    <w:rsid w:val="7B581154"/>
    <w:rsid w:val="7B5A589C"/>
    <w:rsid w:val="7B890A24"/>
    <w:rsid w:val="7B8940DC"/>
    <w:rsid w:val="7B8A4A8A"/>
    <w:rsid w:val="7B99266D"/>
    <w:rsid w:val="7B9A6EA5"/>
    <w:rsid w:val="7BA54136"/>
    <w:rsid w:val="7BAA485C"/>
    <w:rsid w:val="7BAC2722"/>
    <w:rsid w:val="7BAD1591"/>
    <w:rsid w:val="7BB03367"/>
    <w:rsid w:val="7BBC2F7D"/>
    <w:rsid w:val="7BC04B6A"/>
    <w:rsid w:val="7BCD64C2"/>
    <w:rsid w:val="7BD100FC"/>
    <w:rsid w:val="7BD3716B"/>
    <w:rsid w:val="7BD90FD0"/>
    <w:rsid w:val="7BDC3867"/>
    <w:rsid w:val="7BEC2711"/>
    <w:rsid w:val="7BF55850"/>
    <w:rsid w:val="7C075237"/>
    <w:rsid w:val="7C0D2054"/>
    <w:rsid w:val="7C1054B7"/>
    <w:rsid w:val="7C26369C"/>
    <w:rsid w:val="7C2A465C"/>
    <w:rsid w:val="7C305879"/>
    <w:rsid w:val="7C34521A"/>
    <w:rsid w:val="7C4A2BD1"/>
    <w:rsid w:val="7C516EE4"/>
    <w:rsid w:val="7C576C70"/>
    <w:rsid w:val="7C5E44FC"/>
    <w:rsid w:val="7C6B6666"/>
    <w:rsid w:val="7C6E4349"/>
    <w:rsid w:val="7C77043F"/>
    <w:rsid w:val="7C815ED2"/>
    <w:rsid w:val="7C8950CB"/>
    <w:rsid w:val="7C8A7CDC"/>
    <w:rsid w:val="7C9516C4"/>
    <w:rsid w:val="7C9E5A24"/>
    <w:rsid w:val="7C9F7EC8"/>
    <w:rsid w:val="7CB4006B"/>
    <w:rsid w:val="7CB41490"/>
    <w:rsid w:val="7CB763AC"/>
    <w:rsid w:val="7CB93ABB"/>
    <w:rsid w:val="7CBB6FD3"/>
    <w:rsid w:val="7CD11BA5"/>
    <w:rsid w:val="7CDA135A"/>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40DEB"/>
    <w:rsid w:val="7D5A1162"/>
    <w:rsid w:val="7D5B27C9"/>
    <w:rsid w:val="7D62117D"/>
    <w:rsid w:val="7D631D92"/>
    <w:rsid w:val="7D6479E0"/>
    <w:rsid w:val="7D6B7F02"/>
    <w:rsid w:val="7D6E73B9"/>
    <w:rsid w:val="7D7D4E70"/>
    <w:rsid w:val="7D82577E"/>
    <w:rsid w:val="7D834A16"/>
    <w:rsid w:val="7D9D0A97"/>
    <w:rsid w:val="7D9D438F"/>
    <w:rsid w:val="7D9F5025"/>
    <w:rsid w:val="7DA514D2"/>
    <w:rsid w:val="7DA72D07"/>
    <w:rsid w:val="7DA93224"/>
    <w:rsid w:val="7DBE6FBE"/>
    <w:rsid w:val="7DC51C1A"/>
    <w:rsid w:val="7DCD1A27"/>
    <w:rsid w:val="7DCD4739"/>
    <w:rsid w:val="7DCD4EB5"/>
    <w:rsid w:val="7DCE3E8B"/>
    <w:rsid w:val="7DEC4723"/>
    <w:rsid w:val="7DFD4B87"/>
    <w:rsid w:val="7E090313"/>
    <w:rsid w:val="7E105142"/>
    <w:rsid w:val="7E3E0FEC"/>
    <w:rsid w:val="7E3E1EF2"/>
    <w:rsid w:val="7E4963B9"/>
    <w:rsid w:val="7E4D4360"/>
    <w:rsid w:val="7E566EA2"/>
    <w:rsid w:val="7E5847D0"/>
    <w:rsid w:val="7E5C1ABA"/>
    <w:rsid w:val="7E602EE5"/>
    <w:rsid w:val="7E61281D"/>
    <w:rsid w:val="7E622778"/>
    <w:rsid w:val="7E756346"/>
    <w:rsid w:val="7E85174A"/>
    <w:rsid w:val="7E8B68B9"/>
    <w:rsid w:val="7E8E699F"/>
    <w:rsid w:val="7EAA7C26"/>
    <w:rsid w:val="7EAB69D0"/>
    <w:rsid w:val="7EAF1FAA"/>
    <w:rsid w:val="7EB4653A"/>
    <w:rsid w:val="7EBB1C88"/>
    <w:rsid w:val="7EBC7B69"/>
    <w:rsid w:val="7EC37BEB"/>
    <w:rsid w:val="7ECA4601"/>
    <w:rsid w:val="7ED07608"/>
    <w:rsid w:val="7EDC22AD"/>
    <w:rsid w:val="7EDE4C34"/>
    <w:rsid w:val="7EE34086"/>
    <w:rsid w:val="7EE5313E"/>
    <w:rsid w:val="7EE55F89"/>
    <w:rsid w:val="7EEB5719"/>
    <w:rsid w:val="7EF215E8"/>
    <w:rsid w:val="7EF525E1"/>
    <w:rsid w:val="7EF74FC9"/>
    <w:rsid w:val="7EFB0D19"/>
    <w:rsid w:val="7EFF7828"/>
    <w:rsid w:val="7F000B6A"/>
    <w:rsid w:val="7F017893"/>
    <w:rsid w:val="7F022EBD"/>
    <w:rsid w:val="7F0B5962"/>
    <w:rsid w:val="7F0C2035"/>
    <w:rsid w:val="7F0F7992"/>
    <w:rsid w:val="7F1B0865"/>
    <w:rsid w:val="7F271AA3"/>
    <w:rsid w:val="7F542B37"/>
    <w:rsid w:val="7F6B2248"/>
    <w:rsid w:val="7F743FAA"/>
    <w:rsid w:val="7F77597E"/>
    <w:rsid w:val="7F7D7A8E"/>
    <w:rsid w:val="7F815141"/>
    <w:rsid w:val="7F872588"/>
    <w:rsid w:val="7F8725BA"/>
    <w:rsid w:val="7F8C6A8F"/>
    <w:rsid w:val="7F9C175D"/>
    <w:rsid w:val="7FA85877"/>
    <w:rsid w:val="7FAB3A81"/>
    <w:rsid w:val="7FBA1144"/>
    <w:rsid w:val="7FBE43E0"/>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paragraph" w:customStyle="1" w:styleId="79">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5</Pages>
  <Words>2243</Words>
  <Characters>11445</Characters>
  <Lines>52</Lines>
  <Paragraphs>14</Paragraphs>
  <TotalTime>11</TotalTime>
  <ScaleCrop>false</ScaleCrop>
  <LinksUpToDate>false</LinksUpToDate>
  <CharactersWithSpaces>13608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2025-03-28T08:58:10Z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